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3356B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FRANCESCO PETRARCA (1304-1374)</w:t>
      </w:r>
    </w:p>
    <w:p w14:paraId="5D151283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0C741C7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LE ORIGINI</w:t>
      </w:r>
    </w:p>
    <w:p w14:paraId="5D7506E7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Francesco Petrarca nacque ad </w:t>
      </w:r>
      <w:hyperlink r:id="rId4" w:tooltip="Arezz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Arezzo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da </w:t>
      </w:r>
      <w:hyperlink r:id="rId5" w:tooltip="Ser Petracc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ser Petracco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 </w:t>
      </w:r>
      <w:hyperlink r:id="rId6" w:tooltip="Notai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notaio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fiorentino, guelfo bianco, amico di </w:t>
      </w:r>
      <w:hyperlink r:id="rId7" w:tooltip="Dante Alighieri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Dante Alighieri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 come lui </w:t>
      </w:r>
      <w:hyperlink r:id="rId8" w:tooltip="Esili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esiliato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da </w:t>
      </w:r>
      <w:hyperlink r:id="rId9" w:tooltip="Firenze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Firenze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6D96A78E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vertAlign w:val="superscript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 causa dell'esilio, Petrarca trascorse l'infanzia prima ad Arezzo, poi a  </w:t>
      </w:r>
      <w:hyperlink r:id="rId10" w:tooltip="Pis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Pisa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dove incontrò l'amico del padre, Dante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vertAlign w:val="superscript"/>
          <w:lang w:eastAsia="it-IT"/>
        </w:rPr>
        <w:t>.</w:t>
      </w:r>
    </w:p>
    <w:p w14:paraId="47A6D20B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65D4D9B8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 xml:space="preserve">IL SOGGIORNO FRANCESE </w:t>
      </w:r>
    </w:p>
    <w:p w14:paraId="31B14D00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 </w:t>
      </w:r>
      <w:hyperlink r:id="rId11" w:tooltip="1312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1312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la famiglia si trasferì vicino </w:t>
      </w:r>
      <w:hyperlink r:id="rId12" w:tooltip="Avignone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Avignone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in </w:t>
      </w:r>
      <w:hyperlink r:id="rId13" w:tooltip="Franci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Francia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dove Petracco ottenne incarichi presso la </w:t>
      </w:r>
      <w:hyperlink r:id="rId14" w:tooltip="Corte pontifici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Corte pontificia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 Francesco studiò nella scuola di un letterato amico del padre.</w:t>
      </w:r>
    </w:p>
    <w:p w14:paraId="79E3B4B7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1318 morì la madre, Eletta, per la quale compose una poesia in latino. </w:t>
      </w:r>
    </w:p>
    <w:p w14:paraId="2F98C7C5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13348AA4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IL RITORNO IN ITALIA</w:t>
      </w:r>
    </w:p>
    <w:p w14:paraId="61B7604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1320 il padre mandò Francesco a studiare legge nella prestigiosa università di </w:t>
      </w:r>
      <w:hyperlink r:id="rId15" w:tooltip="Bologn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Bologna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</w:p>
    <w:p w14:paraId="52F5BEE3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In questi anni Petrarca manifestò scarso interesse per gli studi di legge e iniziò a frequentare i circoli letterari, appassionandosi alla poesia e alla letteratura.</w:t>
      </w:r>
    </w:p>
    <w:p w14:paraId="38A8F9A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1326 ser Petracco morì, permettendo a Petrarca di lasciare finalmente la facoltà di diritto e di dedicarsi agli studi classici.</w:t>
      </w:r>
    </w:p>
    <w:p w14:paraId="457E9126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239346F5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AL SERVIZIO DEI COLONNA</w:t>
      </w:r>
    </w:p>
    <w:p w14:paraId="6415EAE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Trovò lavoro come uomo di corte in una tra le più influenti e potenti famiglie dell'aristocrazia romana, lavorando per l’arcivescovo </w:t>
      </w:r>
      <w:hyperlink r:id="rId16" w:tooltip="Giacomo Colonna (vescovo XIV secolo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Giacomo Colonna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e poi per il fratello, il cardinale </w:t>
      </w:r>
      <w:hyperlink r:id="rId17" w:tooltip="Giovanni Colonna (cardinale XIV secolo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Giovanni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</w:p>
    <w:p w14:paraId="37E1D88B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Grazie a questa potente famiglia, entrò in contatto con ambienti colti e raffinati, viaggiando per loro conto nell'</w:t>
      </w:r>
      <w:hyperlink r:id="rId18" w:tooltip="Europa settentrionale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Europa del Nord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dove conobbe artisti, intellettuali e musicisti.</w:t>
      </w:r>
    </w:p>
    <w:p w14:paraId="6E3D158C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prese poi gli </w:t>
      </w:r>
      <w:hyperlink r:id="rId19" w:tooltip="Ordine sacr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ordini sacri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divenendo chierico, per ottenere </w:t>
      </w:r>
      <w:hyperlink r:id="rId20" w:tooltip="Beneficio ecclesiastic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benefici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 economici. Ebbe comunque dei figli nati con donne ignote. </w:t>
      </w:r>
    </w:p>
    <w:p w14:paraId="38709FE2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53B27D0A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0173BD9B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503D960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65B1AFFC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lastRenderedPageBreak/>
        <w:t>L’INCONTRO CON LAURA</w:t>
      </w:r>
    </w:p>
    <w:p w14:paraId="6CB93E3F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incontrò Laura, la donna che amò per tutta la vita, per la prima volta nella </w:t>
      </w:r>
      <w:hyperlink r:id="rId21" w:tooltip="Chiesa di Santa Chiara (Avignone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chiesa di Santa Chiara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ad Avignone, il 6 aprile del 1327.</w:t>
      </w:r>
    </w:p>
    <w:p w14:paraId="1995DFB7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Alcuni studiosi la identificano con </w:t>
      </w:r>
      <w:hyperlink r:id="rId22" w:tooltip="Laura de Noves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 xml:space="preserve">Laura de </w:t>
        </w:r>
        <w:proofErr w:type="spellStart"/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Noves</w:t>
        </w:r>
        <w:proofErr w:type="spellEnd"/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morta nel 1348 a causa della peste, altri invece tendono credere che il nome Laura fosse simbolico, scelto perché affine all’alloro, le cui foglie coronavano da sempre i massimi poeti ed erano dunque associate alla poesia, nascondendo così il vero nome della donna. </w:t>
      </w:r>
    </w:p>
    <w:p w14:paraId="25B42774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</w:p>
    <w:p w14:paraId="0B5A5AEB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L’AMORE PER I CLASSICI E IL METODO FILOLOGICO</w:t>
      </w:r>
    </w:p>
    <w:p w14:paraId="245EB1AE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manifestò fin da giovane una grandissima ammirazione per l'</w:t>
      </w:r>
      <w:hyperlink r:id="rId23" w:tooltip="Antichità classic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antichità classica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fin da quando suo padre gli aveva donato un manoscritto contenente le opere e un testo latino di Cicerone.</w:t>
      </w:r>
    </w:p>
    <w:p w14:paraId="5FD31E8D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Quando entrò a servizio dei Colonna, si buttò a capofitto nella ricerca di nuovi classici, cominciando a visionare i codici della </w:t>
      </w:r>
      <w:hyperlink r:id="rId24" w:tooltip="Biblioteca apostolica vatican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Biblioteca Apostolica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4147E5DB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contribuì a sviluppare le basi per la nascita del metodo </w:t>
      </w:r>
      <w:hyperlink r:id="rId25" w:tooltip="Filologi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filologico moderno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basato sul metodo della </w:t>
      </w:r>
      <w:proofErr w:type="spellStart"/>
      <w:r w:rsidRPr="00B57525">
        <w:rPr>
          <w:rFonts w:ascii="Arial" w:hAnsi="Arial" w:cs="Arial"/>
          <w:sz w:val="22"/>
          <w:szCs w:val="22"/>
        </w:rPr>
        <w:fldChar w:fldCharType="begin"/>
      </w:r>
      <w:r w:rsidRPr="00B57525">
        <w:rPr>
          <w:rFonts w:ascii="Arial" w:hAnsi="Arial" w:cs="Arial"/>
        </w:rPr>
        <w:instrText>HYPERLINK "https://it.wikipedia.org/wiki/Collazione_(filologia)" \o "Collazione (filologia)"</w:instrText>
      </w:r>
      <w:r w:rsidRPr="00B57525">
        <w:rPr>
          <w:rFonts w:ascii="Arial" w:hAnsi="Arial" w:cs="Arial"/>
        </w:rPr>
      </w:r>
      <w:r w:rsidRPr="00B57525">
        <w:rPr>
          <w:rFonts w:ascii="Arial" w:hAnsi="Arial" w:cs="Arial"/>
          <w:sz w:val="22"/>
          <w:szCs w:val="22"/>
        </w:rPr>
        <w:fldChar w:fldCharType="separate"/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collatio</w:t>
      </w:r>
      <w:proofErr w:type="spellEnd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fldChar w:fldCharType="end"/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ossia sull’attenta lettura delle varie versioni manoscritte di un testo classico, ricopiate a mano dagli amanuensi, messe a confronto per verificare quali errori fossero stati commessi e risalire alla versione originale pura. </w:t>
      </w:r>
    </w:p>
    <w:p w14:paraId="7E49EC34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Con questo metodo Petrarca lavorò alla ricostruzione di un’importante opera latina, l'</w:t>
      </w:r>
      <w:hyperlink r:id="rId26" w:tooltip="Ab Urbe condita libri" w:history="1">
        <w:r w:rsidRPr="00B57525">
          <w:rPr>
            <w:rFonts w:ascii="Arial" w:eastAsia="Times New Roman" w:hAnsi="Arial" w:cs="Arial"/>
            <w:i/>
            <w:iCs/>
            <w:color w:val="000000" w:themeColor="text1"/>
            <w:sz w:val="28"/>
            <w:szCs w:val="28"/>
            <w:lang w:eastAsia="it-IT"/>
          </w:rPr>
          <w:t>Ab Urbe condita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dello storico latino </w:t>
      </w:r>
      <w:hyperlink r:id="rId27" w:tooltip="Tito Livi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Tito Livio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 alla composizione di un codice contenente le opere di Virgilio.</w:t>
      </w:r>
    </w:p>
    <w:p w14:paraId="74F78B70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57AD2DF7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IL VIAGGIO A ROMA E LA CASA A VALCHIUSA</w:t>
      </w:r>
    </w:p>
    <w:p w14:paraId="29C93453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1337 intraprese poi un viaggio a Roma, dietro richiesta di Giacomo Colonna che desiderava averlo con sé</w:t>
      </w:r>
      <w:r w:rsidRPr="00B57525">
        <w:rPr>
          <w:rFonts w:ascii="Arial" w:hAnsi="Arial" w:cs="Arial"/>
        </w:rPr>
        <w:t>.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Qui Petrarca poté toccare con mano i monumenti e le antiche glorie dell'antica capitale dell'</w:t>
      </w:r>
      <w:hyperlink r:id="rId28" w:tooltip="Impero roman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Impero Romano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rimanendone entusiasta. </w:t>
      </w:r>
    </w:p>
    <w:p w14:paraId="26E91498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Al ritorno dal viaggio Petrarca comprò una casa a </w:t>
      </w:r>
      <w:hyperlink r:id="rId29" w:tooltip="Fontaine-de-Vaucluse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Valchiusa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una località tranquilla, per sfuggire alla troppo movimentata Avignone, che iniziò a detestare in quanto simbolo della corruzione morale in cui era caduto il Papato</w:t>
      </w:r>
      <w:r w:rsidRPr="00B57525">
        <w:rPr>
          <w:rFonts w:ascii="Arial" w:hAnsi="Arial" w:cs="Arial"/>
        </w:rPr>
        <w:t>.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Qui si concentrò sulla sua attività letteraria e accolse altri poeti e intellettuali con cui trascorreva giornate all’insegna del dialogo colto e della spiritualità.</w:t>
      </w:r>
    </w:p>
    <w:p w14:paraId="56C7C6C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 Valchiusa iniziò a lavorare a due opere: l'</w:t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Africa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e il </w:t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De </w:t>
      </w:r>
      <w:proofErr w:type="spellStart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viris</w:t>
      </w:r>
      <w:proofErr w:type="spellEnd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 illustri bus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entrambe scritte in latino e di gusto classico. </w:t>
      </w:r>
    </w:p>
    <w:p w14:paraId="4921F65E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i/>
          <w:color w:val="000000" w:themeColor="text1"/>
          <w:sz w:val="28"/>
          <w:szCs w:val="28"/>
          <w:lang w:eastAsia="it-IT"/>
        </w:rPr>
        <w:t>L’Africa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ha come modello Virgilio e narra l'impresa militare romana della </w:t>
      </w:r>
      <w:hyperlink r:id="rId30" w:tooltip="Seconda guerra punic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seconda guerra punica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incentrata sulle figure di </w:t>
      </w:r>
      <w:hyperlink r:id="rId31" w:tooltip="Publio Cornelio Scipione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Scipione l'Africano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lastRenderedPageBreak/>
        <w:t xml:space="preserve">modello etico insuperabile della virtù. La seconda opera, invece, contiene il racconto in prosa di 36 vite di uomini illustri. </w:t>
      </w:r>
    </w:p>
    <w:p w14:paraId="36F55CD3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7DF6DAF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L’INCORONAZIONE POETICA</w:t>
      </w:r>
    </w:p>
    <w:p w14:paraId="023B77E0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 iniziò a essere apprezzato e conosciuto come sommo poeta in Italia e in Europa. </w:t>
      </w:r>
    </w:p>
    <w:p w14:paraId="3E7271C4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1340 la Sorbona inviò a Petrarca l'offerta di una incoronazione poetica a </w:t>
      </w:r>
      <w:hyperlink r:id="rId32" w:tooltip="Parigi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Parigi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; proposta che, lo stesso giorno, giunse anche dal Senato di Roma</w:t>
      </w:r>
      <w:r w:rsidRPr="00B57525">
        <w:rPr>
          <w:rFonts w:ascii="Arial" w:hAnsi="Arial" w:cs="Arial"/>
        </w:rPr>
        <w:t xml:space="preserve">. 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Petrarca, che desiderava essere incoronato nell'antica capitale dell'Impero romano, accettò la seconda offerta. Il re di Napoli Roberto d’Angiò </w:t>
      </w:r>
      <w:proofErr w:type="gramStart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lo  ricevette</w:t>
      </w:r>
      <w:proofErr w:type="gramEnd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a Napoli prima di arrivare a Roma prima dell’incoronazione.</w:t>
      </w:r>
    </w:p>
    <w:p w14:paraId="4783382F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Il colto sovrano angioino, esaminò per tre giorni il poeta, per poi dare il consenso all’incoronazione, che avvenne in </w:t>
      </w:r>
      <w:hyperlink r:id="rId33" w:tooltip="Campidogli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Campidoglio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 </w:t>
      </w:r>
    </w:p>
    <w:p w14:paraId="100F349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Petrarca, poeta laureato, si inserì così nel novero dei poeti latini, aspirando, a divenire il nuovo Virgilio. </w:t>
      </w:r>
    </w:p>
    <w:p w14:paraId="32619D0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65D238BC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i/>
          <w:iCs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L’INQUIETUDINE INTERIORE</w:t>
      </w:r>
    </w:p>
    <w:p w14:paraId="4CD775AA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Gli anni successivi all'incoronazione poetica, quelli compresi tra il 1341 e il 1348, furono caratterizzati da uno stato d'inquietudine, dovuta sia a eventi traumatici della vita privata, sia al disgusto verso la corruzione avignonese</w:t>
      </w:r>
      <w:r w:rsidRPr="00B57525">
        <w:rPr>
          <w:rFonts w:ascii="Arial" w:hAnsi="Arial" w:cs="Arial"/>
        </w:rPr>
        <w:t>.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In pochi anni morirono Giacomo Colonna e il re Roberto, a cui era profondamente legato.</w:t>
      </w:r>
    </w:p>
    <w:p w14:paraId="00C9CDC8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1345 Petrarca scoprì nella </w:t>
      </w:r>
      <w:hyperlink r:id="rId34" w:tooltip="Biblioteca capitolare di Veron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biblioteca capitolare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le </w:t>
      </w:r>
      <w:hyperlink r:id="rId35" w:anchor="Epistolario" w:tooltip="Marco Tullio Cicerone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epistole ciceroniane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ad </w:t>
      </w:r>
      <w:proofErr w:type="spellStart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Brutum</w:t>
      </w:r>
      <w:proofErr w:type="spellEnd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 </w:t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ad </w:t>
      </w:r>
      <w:proofErr w:type="spellStart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Atticum</w:t>
      </w:r>
      <w:proofErr w:type="spellEnd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e </w:t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ad </w:t>
      </w:r>
      <w:proofErr w:type="spellStart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Quintum</w:t>
      </w:r>
      <w:proofErr w:type="spellEnd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 </w:t>
      </w:r>
      <w:proofErr w:type="spellStart"/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fratrem</w:t>
      </w:r>
      <w:proofErr w:type="spellEnd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fino ad allora sconosciute. Prendendole a modello decise di comporre delle raccolte di lettere in latino. </w:t>
      </w:r>
    </w:p>
    <w:p w14:paraId="58E82F05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5E60C9F4" w14:textId="77777777" w:rsidR="008E7614" w:rsidRPr="00B57525" w:rsidRDefault="008E7614" w:rsidP="00B57525">
      <w:pPr>
        <w:shd w:val="clear" w:color="auto" w:fill="FFFFFF"/>
        <w:spacing w:before="72"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LA PESTE</w:t>
      </w:r>
    </w:p>
    <w:p w14:paraId="4230739A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cominciò a cercare nuovi incarichi da famiglie presso cui ottenere protezione, tornando in Italia.</w:t>
      </w:r>
    </w:p>
    <w:p w14:paraId="57CFAC3E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1348 iniziò a diffondersi la terribile </w:t>
      </w:r>
      <w:hyperlink r:id="rId36" w:tooltip="Peste ner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peste nera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morbo che causò la morte di molti amici e di Laura. </w:t>
      </w:r>
    </w:p>
    <w:p w14:paraId="550FA36F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trovò come protettore il signore di Padova, suo estimatore, che gli garantì una rendita annua di 200 </w:t>
      </w:r>
      <w:hyperlink r:id="rId37" w:anchor="Ducato_d'oro" w:tooltip="Ducato (moneta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ducati d'oro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53FDBC27" w14:textId="77777777" w:rsidR="008E7614" w:rsidRPr="00B57525" w:rsidRDefault="008E7614" w:rsidP="00B57525">
      <w:pPr>
        <w:shd w:val="clear" w:color="auto" w:fill="FFFFFF"/>
        <w:spacing w:after="9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48281469" w14:textId="77777777" w:rsidR="008E7614" w:rsidRPr="00B57525" w:rsidRDefault="008E7614" w:rsidP="00B57525">
      <w:pPr>
        <w:shd w:val="clear" w:color="auto" w:fill="FFFFFF"/>
        <w:spacing w:after="9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44A3DDBB" w14:textId="77777777" w:rsidR="008E7614" w:rsidRPr="00B57525" w:rsidRDefault="008E7614" w:rsidP="00B57525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.</w:t>
      </w:r>
    </w:p>
    <w:p w14:paraId="5D7E23C0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lastRenderedPageBreak/>
        <w:t>Nel 1350 prese la decisione di recarsi a Roma in occasione dell’</w:t>
      </w:r>
      <w:hyperlink r:id="rId38" w:tooltip="Giubileo universale della Chiesa cattolic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Anno giubilare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Si fermò a Firenze per incontrare i suoi estimatori, tra cui Boccaccio, che diventerà il suo principale interlocutore durante gli ultimi vent'anni di vita.</w:t>
      </w:r>
    </w:p>
    <w:p w14:paraId="4B2E6E44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</w:p>
    <w:p w14:paraId="4F4907A9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IL SOGGIORNO MILANESE E VENEZIANO</w:t>
      </w:r>
    </w:p>
    <w:p w14:paraId="3FB7B9E2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</w:t>
      </w:r>
      <w:hyperlink r:id="rId39" w:tooltip="1353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1353</w:t>
        </w:r>
      </w:hyperlink>
      <w:r w:rsidRPr="00B57525">
        <w:rPr>
          <w:rFonts w:ascii="Arial" w:hAnsi="Arial" w:cs="Arial"/>
        </w:rPr>
        <w:t xml:space="preserve"> 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accolse l'offerta di </w:t>
      </w:r>
      <w:hyperlink r:id="rId40" w:tooltip="Giovanni Visconti (arcivescovo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Giovanni Visconti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arcivescovo e signore della città, di risiedere a </w:t>
      </w:r>
      <w:hyperlink r:id="rId41" w:tooltip="Milano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Milano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 poi fu a Venezia, che gli concesse un palazzo  in cambio della promessa di donazione, alla morte, della sua </w:t>
      </w:r>
      <w:hyperlink r:id="rId42" w:tooltip="Biblioteca di Petrarca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biblioteca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che era allora la più grande biblioteca privata d'Europa.</w:t>
      </w:r>
    </w:p>
    <w:p w14:paraId="0662E4A1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1AE99995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GLI ULTIMI ANNI</w:t>
      </w:r>
    </w:p>
    <w:p w14:paraId="0EB5993C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1368 fu di nuovo a Padova, dove ricevette in dono dal signore della città una </w:t>
      </w:r>
      <w:hyperlink r:id="rId43" w:tooltip="Casa di Petrarca (la pagina non esiste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casa situata nella località di Arquà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un tranquillo paese sui </w:t>
      </w:r>
      <w:hyperlink r:id="rId44" w:tooltip="Colli Euganei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colli Euganei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L'ormai anziano Petrarca, fu raggiunto dalla famiglia della figlia Francesca, e fu allietato spesso dalle visite dei suoi vecchi amici ed estimatori.</w:t>
      </w:r>
    </w:p>
    <w:p w14:paraId="67C45DCC" w14:textId="26869FC2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In questi anni si dedicò </w:t>
      </w:r>
      <w:proofErr w:type="gramStart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si </w:t>
      </w:r>
      <w:r w:rsidR="006A4CF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dedicò</w:t>
      </w:r>
      <w:proofErr w:type="gramEnd"/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alla revisione delle sue opere e, in special modo, del </w:t>
      </w:r>
      <w:r w:rsidRPr="00B57525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Canzoniere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una raccolta di poesie in lingua volgare, attività che portò avanti fino agli ultimi giorni di vita</w:t>
      </w:r>
      <w:r w:rsidRPr="00B57525">
        <w:rPr>
          <w:rFonts w:ascii="Arial" w:hAnsi="Arial" w:cs="Arial"/>
        </w:rPr>
        <w:t>.</w:t>
      </w:r>
    </w:p>
    <w:p w14:paraId="734F547E" w14:textId="77777777" w:rsidR="008E7614" w:rsidRPr="00B57525" w:rsidRDefault="008E7614" w:rsidP="00B57525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Colpito da una </w:t>
      </w:r>
      <w:hyperlink r:id="rId45" w:tooltip="Sincope (medicina)" w:history="1">
        <w:r w:rsidRPr="00B57525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sincope</w:t>
        </w:r>
      </w:hyperlink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morì ad Arquà nel 1374</w:t>
      </w:r>
      <w:r w:rsidRPr="00B57525">
        <w:rPr>
          <w:rFonts w:ascii="Arial" w:hAnsi="Arial" w:cs="Arial"/>
        </w:rPr>
        <w:t xml:space="preserve">, </w:t>
      </w:r>
      <w:r w:rsidRPr="00B5752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alla vigilia del suo 70º compleanno.</w:t>
      </w:r>
    </w:p>
    <w:p w14:paraId="45694981" w14:textId="77777777" w:rsidR="008E7614" w:rsidRPr="00B57525" w:rsidRDefault="008E7614" w:rsidP="00B57525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14:paraId="6F1126A0" w14:textId="77777777" w:rsidR="008E7614" w:rsidRPr="00B57525" w:rsidRDefault="008E7614" w:rsidP="00B57525">
      <w:pPr>
        <w:jc w:val="both"/>
        <w:rPr>
          <w:rFonts w:ascii="Arial" w:hAnsi="Arial" w:cs="Arial"/>
          <w:sz w:val="28"/>
          <w:szCs w:val="28"/>
        </w:rPr>
      </w:pPr>
    </w:p>
    <w:p w14:paraId="28605BEC" w14:textId="2F61359E" w:rsidR="008E7614" w:rsidRPr="00B57525" w:rsidRDefault="008E7614" w:rsidP="00B5752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B57525">
        <w:rPr>
          <w:rFonts w:ascii="Arial" w:hAnsi="Arial" w:cs="Arial"/>
          <w:b/>
          <w:bCs/>
          <w:sz w:val="28"/>
          <w:szCs w:val="28"/>
        </w:rPr>
        <w:t>POETICA E STILE</w:t>
      </w:r>
    </w:p>
    <w:p w14:paraId="533C8358" w14:textId="0AA9CE6F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Petrarca è il padre della poesia lirica pura e ha profondamente influenzato la poesia moderna.</w:t>
      </w:r>
    </w:p>
    <w:p w14:paraId="5387A78D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 xml:space="preserve">-Petrarca è influenzato dallo Stilnovo, nel quale prevaleva una concezione dell’amore spirituale e una visione della donna come creatura angelica che fa da tramite tra l’uomo e Dio. Petrarca si allontana tuttavia da questa concezione, soprattutto nelle poesie della prima parte del Canzoniere. </w:t>
      </w:r>
      <w:proofErr w:type="gramStart"/>
      <w:r w:rsidRPr="00E72CE6">
        <w:rPr>
          <w:rFonts w:ascii="Arial" w:hAnsi="Arial" w:cs="Arial"/>
          <w:sz w:val="28"/>
          <w:szCs w:val="28"/>
        </w:rPr>
        <w:t>E’</w:t>
      </w:r>
      <w:proofErr w:type="gramEnd"/>
      <w:r w:rsidRPr="00E72CE6">
        <w:rPr>
          <w:rFonts w:ascii="Arial" w:hAnsi="Arial" w:cs="Arial"/>
          <w:sz w:val="28"/>
          <w:szCs w:val="28"/>
        </w:rPr>
        <w:t xml:space="preserve"> solo negli anni della maturità, poco prima della morte di Laura, che il poeta recupera la dimensione dell’amore stilnovista, spogliato di ogni passionalità </w:t>
      </w:r>
    </w:p>
    <w:p w14:paraId="1633AB3C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573CDC8F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 xml:space="preserve">-Dal punto di vista stilistico Petrarca è molto lontano dal plurilinguismo e dallo sperimentalismo di Dante, che nella Commedia spaziava da un registro alto a uno più basso, con un lessico che prendeva in prestito parole dalla lingua viva </w:t>
      </w:r>
      <w:r w:rsidRPr="00E72CE6">
        <w:rPr>
          <w:rFonts w:ascii="Arial" w:hAnsi="Arial" w:cs="Arial"/>
          <w:sz w:val="28"/>
          <w:szCs w:val="28"/>
        </w:rPr>
        <w:lastRenderedPageBreak/>
        <w:t>del suo tempo e con parole da lui create (neologismi), duttili e utili a modellarsi alle situazioni. La lingua di Petrarca è meno capace di variazioni, il registro è rimane alto, con una cura continua della forma che raggiunge vertici di perfezione. </w:t>
      </w:r>
    </w:p>
    <w:p w14:paraId="54E649E4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21AD97E8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 xml:space="preserve">-La poesia di Petrarca è inventata sull’io del poeta, sul suo mondo interiore, caratterizzato da una scissione e da una lacerazione profonda. Le porsi </w:t>
      </w:r>
      <w:proofErr w:type="gramStart"/>
      <w:r w:rsidRPr="00E72CE6">
        <w:rPr>
          <w:rFonts w:ascii="Arial" w:hAnsi="Arial" w:cs="Arial"/>
          <w:sz w:val="28"/>
          <w:szCs w:val="28"/>
        </w:rPr>
        <w:t>esecutivo ,</w:t>
      </w:r>
      <w:proofErr w:type="gramEnd"/>
      <w:r w:rsidRPr="00E72CE6">
        <w:rPr>
          <w:rFonts w:ascii="Arial" w:hAnsi="Arial" w:cs="Arial"/>
          <w:sz w:val="28"/>
          <w:szCs w:val="28"/>
        </w:rPr>
        <w:t xml:space="preserve"> anche attraverso le strutture metriche e le figure retoriche, basate sul dualismo e sulla dittologia, sottolineano questo dissidio interiore. Frequenti sono i chiasmi e le antitesi ad esempio.</w:t>
      </w:r>
    </w:p>
    <w:p w14:paraId="1BA95E39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4B907A5C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-I temi più frequenti della sua poesia sono:</w:t>
      </w:r>
    </w:p>
    <w:p w14:paraId="00B30A78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6FA55869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-l’amore come sentimento sensuale e passionale, in contrasto con l’amore spirituale verso Dio</w:t>
      </w:r>
    </w:p>
    <w:p w14:paraId="353DA48A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-l’amore come sentimento lacerante che fa soffrire il poeta </w:t>
      </w:r>
    </w:p>
    <w:p w14:paraId="18DE12D5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-l’amore che respinge, l’amore non ricambiato </w:t>
      </w:r>
    </w:p>
    <w:p w14:paraId="1A8540E9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-Laura, donna reale, terrena, di cui viene esaltata la bellezza, che tuttavia sfiorisce col tempo. Donna onorabile che non ricambia l’amore passionale del poeta</w:t>
      </w:r>
    </w:p>
    <w:p w14:paraId="0517E1B9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-il dubbio, l’angoscia, il tormento del poeta che si interroga sugli effetti dell’amore, sul desiderio e sul dolore, sulla natura di un sentimento così dolce e così amaro al tempo stesso </w:t>
      </w:r>
    </w:p>
    <w:p w14:paraId="003B16BB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-il pentimento e la vergogna per essersi lasciato trascinare in basso dalla passione, allontanandosi dalla spiritualità</w:t>
      </w:r>
    </w:p>
    <w:p w14:paraId="75E3B0F6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-la maturazione, in età adulta, verso una forma di amore spirituale, vicina allo Stilnovo </w:t>
      </w:r>
    </w:p>
    <w:p w14:paraId="3B08D3F1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 xml:space="preserve">-la Natura come locus </w:t>
      </w:r>
      <w:proofErr w:type="spellStart"/>
      <w:r w:rsidRPr="00E72CE6">
        <w:rPr>
          <w:rFonts w:ascii="Arial" w:hAnsi="Arial" w:cs="Arial"/>
          <w:sz w:val="28"/>
          <w:szCs w:val="28"/>
        </w:rPr>
        <w:t>amenus</w:t>
      </w:r>
      <w:proofErr w:type="spellEnd"/>
      <w:r w:rsidRPr="00E72CE6">
        <w:rPr>
          <w:rFonts w:ascii="Arial" w:hAnsi="Arial" w:cs="Arial"/>
          <w:sz w:val="28"/>
          <w:szCs w:val="28"/>
        </w:rPr>
        <w:t xml:space="preserve"> spesso in contrasto con il dolore provato dal poeta, oppure come rifugio per Petrarca, che fugge gli uomini e trova conforto nel paesaggio </w:t>
      </w:r>
    </w:p>
    <w:p w14:paraId="5CB78F1A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08F9CE63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726F5BB1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lastRenderedPageBreak/>
        <w:t>Le figure retoriche ricorrenti sono:</w:t>
      </w:r>
    </w:p>
    <w:p w14:paraId="351D8A31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494B3B10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-enjambements: spezzature del verso che suggeriscono un ritmo veloce, in sintonia con lo stato d’animo del poeta </w:t>
      </w:r>
    </w:p>
    <w:p w14:paraId="6625B6AB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4FDDA080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-allitterazioni: suoni consonantici ripetuti nello stesso verso, tra parole vicine, che possono essere dolci (m, n, l), o aspri e duri (</w:t>
      </w:r>
      <w:proofErr w:type="spellStart"/>
      <w:proofErr w:type="gramStart"/>
      <w:r w:rsidRPr="00E72CE6">
        <w:rPr>
          <w:rFonts w:ascii="Arial" w:hAnsi="Arial" w:cs="Arial"/>
          <w:sz w:val="28"/>
          <w:szCs w:val="28"/>
        </w:rPr>
        <w:t>s,r</w:t>
      </w:r>
      <w:proofErr w:type="gramEnd"/>
      <w:r w:rsidRPr="00E72CE6">
        <w:rPr>
          <w:rFonts w:ascii="Arial" w:hAnsi="Arial" w:cs="Arial"/>
          <w:sz w:val="28"/>
          <w:szCs w:val="28"/>
        </w:rPr>
        <w:t>,t</w:t>
      </w:r>
      <w:proofErr w:type="spellEnd"/>
      <w:r w:rsidRPr="00E72CE6">
        <w:rPr>
          <w:rFonts w:ascii="Arial" w:hAnsi="Arial" w:cs="Arial"/>
          <w:sz w:val="28"/>
          <w:szCs w:val="28"/>
        </w:rPr>
        <w:t>), in questo caso sottolineando la sofferenza del poeta </w:t>
      </w:r>
    </w:p>
    <w:p w14:paraId="04633B4D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6DE6A28E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-polisindeto: collegare parole o frasi con la congiunzione e </w:t>
      </w:r>
    </w:p>
    <w:p w14:paraId="43F71A85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79C140BF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-chiasmo: disposizione di un gruppo di quattro parole invertita in modo da formare un incrocio immaginario </w:t>
      </w:r>
    </w:p>
    <w:p w14:paraId="05DDD6D4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2A8724CF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-antitesi: due parole o concetti opposti vicini </w:t>
      </w:r>
    </w:p>
    <w:p w14:paraId="1D9BEFF8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0251BD9C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-ossimoro: due parole vicine che esprimo concetti del tutto contrari  </w:t>
      </w:r>
    </w:p>
    <w:p w14:paraId="14E3CC36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p w14:paraId="021DF27D" w14:textId="77777777" w:rsidR="00E72CE6" w:rsidRPr="00E72CE6" w:rsidRDefault="00E72CE6" w:rsidP="00B57525">
      <w:pPr>
        <w:jc w:val="both"/>
        <w:rPr>
          <w:rFonts w:ascii="Arial" w:hAnsi="Arial" w:cs="Arial"/>
          <w:sz w:val="28"/>
          <w:szCs w:val="28"/>
        </w:rPr>
      </w:pPr>
      <w:r w:rsidRPr="00E72CE6">
        <w:rPr>
          <w:rFonts w:ascii="Arial" w:hAnsi="Arial" w:cs="Arial"/>
          <w:sz w:val="28"/>
          <w:szCs w:val="28"/>
        </w:rPr>
        <w:t>-anafora: ripetizione di una parola o gruppo di parole che si ripetono all’inizio di più versi </w:t>
      </w:r>
    </w:p>
    <w:p w14:paraId="061FCB20" w14:textId="77777777" w:rsidR="00E72CE6" w:rsidRPr="00B57525" w:rsidRDefault="00E72CE6" w:rsidP="00B57525">
      <w:pPr>
        <w:jc w:val="both"/>
        <w:rPr>
          <w:rFonts w:ascii="Arial" w:hAnsi="Arial" w:cs="Arial"/>
          <w:sz w:val="28"/>
          <w:szCs w:val="28"/>
        </w:rPr>
      </w:pPr>
    </w:p>
    <w:sectPr w:rsidR="00E72CE6" w:rsidRPr="00B575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CE6"/>
    <w:rsid w:val="006A4CF5"/>
    <w:rsid w:val="00726AFC"/>
    <w:rsid w:val="008E7614"/>
    <w:rsid w:val="00B57525"/>
    <w:rsid w:val="00DC261E"/>
    <w:rsid w:val="00E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49C1B"/>
  <w15:chartTrackingRefBased/>
  <w15:docId w15:val="{7B933AAB-DAC5-496A-8F7E-B469AF834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2C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2C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2C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2C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2C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2C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2C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2C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2C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2C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2C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2C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2CE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2CE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2CE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2CE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2CE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2CE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2C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2C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2C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2C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2C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2CE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2CE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2CE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2C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2CE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2C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7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4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45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547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3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72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54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900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281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9057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53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96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822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488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12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0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941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848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2259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6998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72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5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186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013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813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98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978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85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2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54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79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64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37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51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019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316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85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6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03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4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2526367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1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0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2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944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18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884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984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527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88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164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55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89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660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007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40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38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49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624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62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293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32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95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150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9846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27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74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92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83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32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387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258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186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07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39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024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514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3413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426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329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0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8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27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20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82864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39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wikipedia.org/wiki/Francia" TargetMode="External"/><Relationship Id="rId18" Type="http://schemas.openxmlformats.org/officeDocument/2006/relationships/hyperlink" Target="https://it.wikipedia.org/wiki/Europa_settentrionale" TargetMode="External"/><Relationship Id="rId26" Type="http://schemas.openxmlformats.org/officeDocument/2006/relationships/hyperlink" Target="https://it.wikipedia.org/wiki/Ab_Urbe_condita_libri" TargetMode="External"/><Relationship Id="rId39" Type="http://schemas.openxmlformats.org/officeDocument/2006/relationships/hyperlink" Target="https://it.wikipedia.org/wiki/1353" TargetMode="External"/><Relationship Id="rId21" Type="http://schemas.openxmlformats.org/officeDocument/2006/relationships/hyperlink" Target="https://it.wikipedia.org/wiki/Chiesa_di_Santa_Chiara_(Avignone)" TargetMode="External"/><Relationship Id="rId34" Type="http://schemas.openxmlformats.org/officeDocument/2006/relationships/hyperlink" Target="https://it.wikipedia.org/wiki/Biblioteca_capitolare_di_Verona" TargetMode="External"/><Relationship Id="rId42" Type="http://schemas.openxmlformats.org/officeDocument/2006/relationships/hyperlink" Target="https://it.wikipedia.org/wiki/Biblioteca_di_Petrarca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it.wikipedia.org/wiki/Dante_Alighieri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Giacomo_Colonna_(vescovo_XIV_secolo)" TargetMode="External"/><Relationship Id="rId29" Type="http://schemas.openxmlformats.org/officeDocument/2006/relationships/hyperlink" Target="https://it.wikipedia.org/wiki/Fontaine-de-Vaucluse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Notaio" TargetMode="External"/><Relationship Id="rId11" Type="http://schemas.openxmlformats.org/officeDocument/2006/relationships/hyperlink" Target="https://it.wikipedia.org/wiki/1312" TargetMode="External"/><Relationship Id="rId24" Type="http://schemas.openxmlformats.org/officeDocument/2006/relationships/hyperlink" Target="https://it.wikipedia.org/wiki/Biblioteca_apostolica_vaticana" TargetMode="External"/><Relationship Id="rId32" Type="http://schemas.openxmlformats.org/officeDocument/2006/relationships/hyperlink" Target="https://it.wikipedia.org/wiki/Parigi" TargetMode="External"/><Relationship Id="rId37" Type="http://schemas.openxmlformats.org/officeDocument/2006/relationships/hyperlink" Target="https://it.wikipedia.org/wiki/Ducato_(moneta)" TargetMode="External"/><Relationship Id="rId40" Type="http://schemas.openxmlformats.org/officeDocument/2006/relationships/hyperlink" Target="https://it.wikipedia.org/wiki/Giovanni_Visconti_(arcivescovo)" TargetMode="External"/><Relationship Id="rId45" Type="http://schemas.openxmlformats.org/officeDocument/2006/relationships/hyperlink" Target="https://it.wikipedia.org/wiki/Sincope_(medicina)" TargetMode="External"/><Relationship Id="rId5" Type="http://schemas.openxmlformats.org/officeDocument/2006/relationships/hyperlink" Target="https://it.wikipedia.org/wiki/Ser_Petracco" TargetMode="External"/><Relationship Id="rId15" Type="http://schemas.openxmlformats.org/officeDocument/2006/relationships/hyperlink" Target="https://it.wikipedia.org/wiki/Bologna" TargetMode="External"/><Relationship Id="rId23" Type="http://schemas.openxmlformats.org/officeDocument/2006/relationships/hyperlink" Target="https://it.wikipedia.org/wiki/Antichit%C3%A0_classica" TargetMode="External"/><Relationship Id="rId28" Type="http://schemas.openxmlformats.org/officeDocument/2006/relationships/hyperlink" Target="https://it.wikipedia.org/wiki/Impero_romano" TargetMode="External"/><Relationship Id="rId36" Type="http://schemas.openxmlformats.org/officeDocument/2006/relationships/hyperlink" Target="https://it.wikipedia.org/wiki/Peste_nera" TargetMode="External"/><Relationship Id="rId10" Type="http://schemas.openxmlformats.org/officeDocument/2006/relationships/hyperlink" Target="https://it.wikipedia.org/wiki/Pisa" TargetMode="External"/><Relationship Id="rId19" Type="http://schemas.openxmlformats.org/officeDocument/2006/relationships/hyperlink" Target="https://it.wikipedia.org/wiki/Ordine_sacro" TargetMode="External"/><Relationship Id="rId31" Type="http://schemas.openxmlformats.org/officeDocument/2006/relationships/hyperlink" Target="https://it.wikipedia.org/wiki/Publio_Cornelio_Scipione" TargetMode="External"/><Relationship Id="rId44" Type="http://schemas.openxmlformats.org/officeDocument/2006/relationships/hyperlink" Target="https://it.wikipedia.org/wiki/Colli_Euganei" TargetMode="External"/><Relationship Id="rId4" Type="http://schemas.openxmlformats.org/officeDocument/2006/relationships/hyperlink" Target="https://it.wikipedia.org/wiki/Arezzo" TargetMode="External"/><Relationship Id="rId9" Type="http://schemas.openxmlformats.org/officeDocument/2006/relationships/hyperlink" Target="https://it.wikipedia.org/wiki/Firenze" TargetMode="External"/><Relationship Id="rId14" Type="http://schemas.openxmlformats.org/officeDocument/2006/relationships/hyperlink" Target="https://it.wikipedia.org/wiki/Corte_pontificia" TargetMode="External"/><Relationship Id="rId22" Type="http://schemas.openxmlformats.org/officeDocument/2006/relationships/hyperlink" Target="https://it.wikipedia.org/wiki/Laura_de_Noves" TargetMode="External"/><Relationship Id="rId27" Type="http://schemas.openxmlformats.org/officeDocument/2006/relationships/hyperlink" Target="https://it.wikipedia.org/wiki/Tito_Livio" TargetMode="External"/><Relationship Id="rId30" Type="http://schemas.openxmlformats.org/officeDocument/2006/relationships/hyperlink" Target="https://it.wikipedia.org/wiki/Seconda_guerra_punica" TargetMode="External"/><Relationship Id="rId35" Type="http://schemas.openxmlformats.org/officeDocument/2006/relationships/hyperlink" Target="https://it.wikipedia.org/wiki/Marco_Tullio_Cicerone" TargetMode="External"/><Relationship Id="rId43" Type="http://schemas.openxmlformats.org/officeDocument/2006/relationships/hyperlink" Target="https://it.wikipedia.org/w/index.php?title=Casa_di_Petrarca&amp;action=edit&amp;redlink=1" TargetMode="External"/><Relationship Id="rId8" Type="http://schemas.openxmlformats.org/officeDocument/2006/relationships/hyperlink" Target="https://it.wikipedia.org/wiki/Esilio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it.wikipedia.org/wiki/Avignone" TargetMode="External"/><Relationship Id="rId17" Type="http://schemas.openxmlformats.org/officeDocument/2006/relationships/hyperlink" Target="https://it.wikipedia.org/wiki/Giovanni_Colonna_(cardinale_XIV_secolo)" TargetMode="External"/><Relationship Id="rId25" Type="http://schemas.openxmlformats.org/officeDocument/2006/relationships/hyperlink" Target="https://it.wikipedia.org/wiki/Filologia" TargetMode="External"/><Relationship Id="rId33" Type="http://schemas.openxmlformats.org/officeDocument/2006/relationships/hyperlink" Target="https://it.wikipedia.org/wiki/Campidoglio" TargetMode="External"/><Relationship Id="rId38" Type="http://schemas.openxmlformats.org/officeDocument/2006/relationships/hyperlink" Target="https://it.wikipedia.org/wiki/Giubileo_universale_della_Chiesa_cattolica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it.wikipedia.org/wiki/Beneficio_ecclesiastico" TargetMode="External"/><Relationship Id="rId41" Type="http://schemas.openxmlformats.org/officeDocument/2006/relationships/hyperlink" Target="https://it.wikipedia.org/wiki/Milan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2056</Words>
  <Characters>11725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2025-04-23T17:43:00Z</dcterms:created>
  <dcterms:modified xsi:type="dcterms:W3CDTF">2025-04-23T18:04:00Z</dcterms:modified>
</cp:coreProperties>
</file>