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DF8" w:rsidRPr="00875DF8" w:rsidRDefault="00875DF8" w:rsidP="00875DF8">
      <w:pPr>
        <w:spacing w:after="0" w:line="240" w:lineRule="auto"/>
        <w:jc w:val="both"/>
        <w:textAlignment w:val="baseline"/>
        <w:rPr>
          <w:rFonts w:eastAsia="Times New Roman" w:cstheme="minorHAnsi"/>
          <w:b/>
          <w:bCs/>
          <w:sz w:val="28"/>
          <w:szCs w:val="28"/>
          <w:bdr w:val="none" w:sz="0" w:space="0" w:color="auto" w:frame="1"/>
          <w:lang w:eastAsia="it-IT"/>
        </w:rPr>
      </w:pPr>
      <w:r w:rsidRPr="00875DF8">
        <w:rPr>
          <w:rFonts w:eastAsia="Times New Roman" w:cstheme="minorHAnsi"/>
          <w:b/>
          <w:bCs/>
          <w:sz w:val="28"/>
          <w:szCs w:val="28"/>
          <w:bdr w:val="none" w:sz="0" w:space="0" w:color="auto" w:frame="1"/>
          <w:lang w:eastAsia="it-IT"/>
        </w:rPr>
        <w:t>GIOLITTI</w:t>
      </w:r>
    </w:p>
    <w:p w:rsidR="00875DF8" w:rsidRDefault="00875DF8" w:rsidP="00875DF8">
      <w:pPr>
        <w:spacing w:after="0" w:line="240" w:lineRule="auto"/>
        <w:jc w:val="both"/>
        <w:textAlignment w:val="baseline"/>
        <w:rPr>
          <w:rFonts w:eastAsia="Times New Roman" w:cstheme="minorHAnsi"/>
          <w:sz w:val="28"/>
          <w:szCs w:val="28"/>
          <w:bdr w:val="none" w:sz="0" w:space="0" w:color="auto" w:frame="1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textAlignment w:val="baseline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bdr w:val="none" w:sz="0" w:space="0" w:color="auto" w:frame="1"/>
          <w:lang w:eastAsia="it-IT"/>
        </w:rPr>
        <w:t>Giovanni Giolitti</w:t>
      </w:r>
      <w:r w:rsidRPr="00875DF8">
        <w:rPr>
          <w:rFonts w:eastAsia="Times New Roman" w:cstheme="minorHAnsi"/>
          <w:sz w:val="28"/>
          <w:szCs w:val="28"/>
          <w:lang w:eastAsia="it-IT"/>
        </w:rPr>
        <w:t> </w:t>
      </w:r>
      <w:r w:rsidR="00F574F4">
        <w:rPr>
          <w:rFonts w:eastAsia="Times New Roman" w:cstheme="minorHAnsi"/>
          <w:sz w:val="28"/>
          <w:szCs w:val="28"/>
          <w:lang w:eastAsia="it-IT"/>
        </w:rPr>
        <w:t xml:space="preserve">è stata una delle figure di maggiore spessore politico in Italia; fu </w:t>
      </w:r>
      <w:r w:rsidRPr="00875DF8">
        <w:rPr>
          <w:rFonts w:eastAsia="Times New Roman" w:cstheme="minorHAnsi"/>
          <w:sz w:val="28"/>
          <w:szCs w:val="28"/>
          <w:lang w:eastAsia="it-IT"/>
        </w:rPr>
        <w:t>cinque volte </w:t>
      </w:r>
      <w:hyperlink r:id="rId4" w:tgtFrame="_blank" w:tooltip="Presidenti del Consiglio dei ministri del Regno d'Italia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presidente del Consiglio dei ministri</w:t>
        </w:r>
      </w:hyperlink>
      <w:r w:rsidR="00F574F4">
        <w:rPr>
          <w:rFonts w:eastAsia="Times New Roman" w:cstheme="minorHAnsi"/>
          <w:sz w:val="28"/>
          <w:szCs w:val="28"/>
          <w:lang w:eastAsia="it-IT"/>
        </w:rPr>
        <w:t xml:space="preserve"> e guidò il nostro Paese con grande abilit</w:t>
      </w:r>
      <w:r w:rsidR="00AC504E">
        <w:rPr>
          <w:rFonts w:eastAsia="Times New Roman" w:cstheme="minorHAnsi"/>
          <w:sz w:val="28"/>
          <w:szCs w:val="28"/>
          <w:lang w:eastAsia="it-IT"/>
        </w:rPr>
        <w:t>à</w:t>
      </w:r>
      <w:r w:rsidR="00F574F4">
        <w:rPr>
          <w:rFonts w:eastAsia="Times New Roman" w:cstheme="minorHAnsi"/>
          <w:sz w:val="28"/>
          <w:szCs w:val="28"/>
          <w:lang w:eastAsia="it-IT"/>
        </w:rPr>
        <w:t>.</w:t>
      </w:r>
    </w:p>
    <w:p w:rsidR="00875DF8" w:rsidRDefault="00AC504E" w:rsidP="00875DF8">
      <w:pPr>
        <w:spacing w:after="0" w:line="240" w:lineRule="auto"/>
        <w:jc w:val="both"/>
        <w:textAlignment w:val="baseline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lang w:eastAsia="it-IT"/>
        </w:rPr>
        <w:t xml:space="preserve">Inaugurò </w:t>
      </w:r>
      <w:r w:rsidR="00F574F4">
        <w:rPr>
          <w:rFonts w:eastAsia="Times New Roman" w:cstheme="minorHAnsi"/>
          <w:sz w:val="28"/>
          <w:szCs w:val="28"/>
          <w:lang w:eastAsia="it-IT"/>
        </w:rPr>
        <w:t>una linea politica del tutto nuova, basata su alcuni punti fondamentali:</w:t>
      </w:r>
    </w:p>
    <w:p w:rsidR="00875DF8" w:rsidRDefault="00F574F4" w:rsidP="00875DF8">
      <w:pPr>
        <w:spacing w:after="0" w:line="240" w:lineRule="auto"/>
        <w:jc w:val="both"/>
        <w:textAlignment w:val="baseline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>
        <w:rPr>
          <w:rFonts w:eastAsia="Times New Roman" w:cstheme="minorHAnsi"/>
          <w:sz w:val="28"/>
          <w:szCs w:val="28"/>
          <w:lang w:eastAsia="it-IT"/>
        </w:rPr>
        <w:t xml:space="preserve">-il </w:t>
      </w:r>
      <w:hyperlink r:id="rId5" w:tgtFrame="_blank" w:tooltip="Trasformismo (politica)" w:history="1">
        <w:r w:rsidR="00875DF8"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trasformismo</w:t>
        </w:r>
      </w:hyperlink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: </w:t>
      </w:r>
      <w:r w:rsidR="00AC504E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creare una 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governo 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di centro,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 </w:t>
      </w:r>
      <w:r w:rsidR="00AC504E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aperto ai socialisti, 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che isolasse l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e tendenze di </w:t>
      </w:r>
      <w:hyperlink r:id="rId6" w:tgtFrame="_blank" w:tooltip="Estrema sinistra" w:history="1">
        <w:r w:rsidR="00875DF8"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estrema sinistra</w:t>
        </w:r>
      </w:hyperlink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 e 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di </w:t>
      </w:r>
      <w:hyperlink r:id="rId7" w:tgtFrame="_blank" w:tooltip="Estrema destra" w:history="1">
        <w:r w:rsidR="00875DF8"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estrema destra</w:t>
        </w:r>
      </w:hyperlink>
      <w:r>
        <w:rPr>
          <w:rFonts w:eastAsia="Times New Roman" w:cstheme="minorHAnsi"/>
          <w:sz w:val="28"/>
          <w:szCs w:val="28"/>
          <w:lang w:eastAsia="it-IT"/>
        </w:rPr>
        <w:t>;</w:t>
      </w:r>
    </w:p>
    <w:p w:rsidR="00F574F4" w:rsidRDefault="00F574F4" w:rsidP="00875DF8">
      <w:pPr>
        <w:spacing w:after="0" w:line="240" w:lineRule="auto"/>
        <w:jc w:val="both"/>
        <w:textAlignment w:val="baseline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-non usare l’esercito per reprimere le rivolte dei lavoratori: lo Stato come mediatore tra imprenditori e operai;</w:t>
      </w:r>
    </w:p>
    <w:p w:rsidR="00875DF8" w:rsidRPr="00875DF8" w:rsidRDefault="00F574F4" w:rsidP="00F574F4">
      <w:pPr>
        <w:spacing w:after="0" w:line="240" w:lineRule="auto"/>
        <w:jc w:val="both"/>
        <w:textAlignment w:val="baseline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-promuovere una serie di riforme sociali ed economiche per rilanciare il Paese e dare vita a una società </w:t>
      </w:r>
      <w:r w:rsidR="00AC504E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più equa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</w:t>
      </w:r>
    </w:p>
    <w:p w:rsidR="00875DF8" w:rsidRDefault="00F574F4" w:rsidP="00875DF8">
      <w:pPr>
        <w:spacing w:after="0" w:line="240" w:lineRule="auto"/>
        <w:jc w:val="both"/>
        <w:textAlignment w:val="baseline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Si definisce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"</w:t>
      </w:r>
      <w:hyperlink r:id="rId8" w:tgtFrame="_blank" w:tooltip="Età giolittiana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età giolittiana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"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il 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periodo compreso tra 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il 1900 e il 1914, 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quando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Giolitti 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fu presidente del Consiglio 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o 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Ministro dell'interno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</w:t>
      </w:r>
    </w:p>
    <w:p w:rsidR="00F574F4" w:rsidRPr="00875DF8" w:rsidRDefault="00F574F4" w:rsidP="00875DF8">
      <w:pPr>
        <w:spacing w:after="0" w:line="240" w:lineRule="auto"/>
        <w:jc w:val="both"/>
        <w:textAlignment w:val="baseline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before="120" w:after="240" w:line="240" w:lineRule="auto"/>
        <w:jc w:val="both"/>
        <w:textAlignment w:val="baseline"/>
        <w:rPr>
          <w:rFonts w:eastAsia="Times New Roman" w:cstheme="minorHAnsi"/>
          <w:b/>
          <w:bCs/>
          <w:sz w:val="28"/>
          <w:szCs w:val="28"/>
          <w:lang w:eastAsia="it-IT"/>
        </w:rPr>
      </w:pPr>
      <w:r w:rsidRPr="00875DF8">
        <w:rPr>
          <w:rFonts w:eastAsia="Times New Roman" w:cstheme="minorHAnsi"/>
          <w:b/>
          <w:bCs/>
          <w:sz w:val="28"/>
          <w:szCs w:val="28"/>
          <w:shd w:val="clear" w:color="auto" w:fill="FFFFFF"/>
          <w:lang w:eastAsia="it-IT"/>
        </w:rPr>
        <w:t>BIOGRAFIA</w:t>
      </w:r>
    </w:p>
    <w:p w:rsidR="00875DF8" w:rsidRPr="00875DF8" w:rsidRDefault="00F574F4" w:rsidP="00875DF8">
      <w:pPr>
        <w:spacing w:after="0" w:line="240" w:lineRule="auto"/>
        <w:jc w:val="both"/>
        <w:textAlignment w:val="baseline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G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iovanni Giolitti nacque 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nel 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1842 da una famiglia dell'alta borghesia. 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Rimase 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a un anno orfano del padre</w:t>
      </w:r>
      <w:r w:rsidR="00374E1F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e fu cresciuto dalla madre 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a </w:t>
      </w:r>
      <w:hyperlink r:id="rId9" w:tgtFrame="_blank" w:tooltip="Torino" w:history="1">
        <w:r w:rsidR="00875DF8"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Torino</w:t>
        </w:r>
      </w:hyperlink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, nella casa dei suoi quattro</w:t>
      </w:r>
      <w:r w:rsidR="00374E1F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zii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che, essendo tutti celibi, circondarono il bimbo di particolari cure e affetto.</w:t>
      </w:r>
    </w:p>
    <w:p w:rsidR="00875DF8" w:rsidRPr="00875DF8" w:rsidRDefault="00374E1F" w:rsidP="00875DF8">
      <w:pPr>
        <w:spacing w:after="0" w:line="240" w:lineRule="auto"/>
        <w:jc w:val="both"/>
        <w:textAlignment w:val="baseline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Dotato di grande intelligenza, f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requentò la facoltà di </w:t>
      </w:r>
      <w:hyperlink r:id="rId10" w:tgtFrame="_blank" w:tooltip="Giurisprudenza" w:history="1">
        <w:r w:rsidR="00875DF8"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Giurisprudenza</w:t>
        </w:r>
      </w:hyperlink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all'</w:t>
      </w:r>
      <w:hyperlink r:id="rId11" w:tgtFrame="_blank" w:tooltip="Università degli Studi di Torino" w:history="1">
        <w:r w:rsidR="00875DF8"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Università degli Studi di Torino</w:t>
        </w:r>
      </w:hyperlink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 e si laureò a soli 19 anni, grazie a una speciale deroga del rettore che gli consentì di compiere gli ultimi tre anni in uno solo.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All'attività politica fu avviato da uno degli zii che era stato deputato nel </w:t>
      </w:r>
      <w:hyperlink r:id="rId12" w:tgtFrame="_blank" w:tooltip="1848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1848</w:t>
        </w:r>
      </w:hyperlink>
      <w:r w:rsidR="00374E1F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374E1F" w:rsidRDefault="00374E1F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Non prese parte alle lotte del</w:t>
      </w:r>
      <w:r w:rsidR="00EA5A12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</w:t>
      </w:r>
      <w:hyperlink r:id="rId13" w:tgtFrame="_blank" w:tooltip="Risorgimento" w:history="1">
        <w:r w:rsidR="00875DF8"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Risorgimento</w:t>
        </w:r>
      </w:hyperlink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e si fece 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portatore di idee </w:t>
      </w:r>
      <w:hyperlink r:id="rId14" w:tgtFrame="_blank" w:tooltip="Liberalismo" w:history="1">
        <w:r w:rsidR="00875DF8"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liberali</w:t>
        </w:r>
      </w:hyperlink>
      <w:r>
        <w:rPr>
          <w:rFonts w:eastAsia="Times New Roman" w:cstheme="minorHAnsi"/>
          <w:sz w:val="28"/>
          <w:szCs w:val="28"/>
          <w:lang w:eastAsia="it-IT"/>
        </w:rPr>
        <w:t xml:space="preserve"> e 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moderate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</w:t>
      </w:r>
    </w:p>
    <w:p w:rsidR="00875DF8" w:rsidRPr="00875DF8" w:rsidRDefault="00374E1F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Iniziò a 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lavorare al Ministero di </w:t>
      </w:r>
      <w:proofErr w:type="spellStart"/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Giusitizia</w:t>
      </w:r>
      <w:proofErr w:type="spellEnd"/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e poi 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al Ministero delle finanze, con la qualifica di caposezione, collaborando con diversi ministri della </w:t>
      </w:r>
      <w:hyperlink r:id="rId15" w:tgtFrame="_blank" w:tooltip="Destra storica" w:history="1">
        <w:r w:rsidR="00875DF8"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Destra storica</w:t>
        </w:r>
      </w:hyperlink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374E1F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N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el 1882 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fu 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eletto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deputato.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Nel 1889 fu nominato Ministro del tesoro, assumendo in seguito anche l</w:t>
      </w:r>
      <w:r w:rsidR="00374E1F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a guida del Ministero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delle finanze. </w:t>
      </w:r>
    </w:p>
    <w:p w:rsid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374E1F" w:rsidRDefault="00374E1F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374E1F" w:rsidRDefault="00374E1F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374E1F" w:rsidRDefault="00374E1F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374E1F" w:rsidRPr="00875DF8" w:rsidRDefault="00374E1F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374E1F" w:rsidRPr="00374E1F" w:rsidRDefault="00374E1F" w:rsidP="00875DF8">
      <w:pPr>
        <w:spacing w:after="0" w:line="240" w:lineRule="auto"/>
        <w:jc w:val="both"/>
        <w:rPr>
          <w:rFonts w:eastAsia="Times New Roman" w:cstheme="minorHAnsi"/>
          <w:b/>
          <w:bCs/>
          <w:sz w:val="28"/>
          <w:szCs w:val="28"/>
          <w:shd w:val="clear" w:color="auto" w:fill="FFFFFF"/>
          <w:lang w:eastAsia="it-IT"/>
        </w:rPr>
      </w:pPr>
      <w:r w:rsidRPr="00374E1F">
        <w:rPr>
          <w:rFonts w:eastAsia="Times New Roman" w:cstheme="minorHAnsi"/>
          <w:b/>
          <w:bCs/>
          <w:sz w:val="28"/>
          <w:szCs w:val="28"/>
          <w:shd w:val="clear" w:color="auto" w:fill="FFFFFF"/>
          <w:lang w:eastAsia="it-IT"/>
        </w:rPr>
        <w:lastRenderedPageBreak/>
        <w:t>PRIMO GOVERNO 1892-1893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Nel 1892 ricevette dal re </w:t>
      </w:r>
      <w:hyperlink r:id="rId16" w:tgtFrame="_blank" w:tooltip="Umberto I d'Italia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Umberto I</w:t>
        </w:r>
      </w:hyperlink>
      <w:r w:rsidR="00374E1F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l’</w:t>
      </w:r>
      <w:r w:rsidR="00EA5A12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incarico di formare il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governo.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Fu costretto alle dimissioni dopo poco più di un anno</w:t>
      </w:r>
      <w:r w:rsidR="00374E1F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, mal visto dai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grandi industriali e proprietari terrieri per il suo rifiuto di reprimere con la forza le proteste che attraversavano estesamente il paese</w:t>
      </w:r>
      <w:r w:rsidR="00EA5A12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Giolitti non ebbe incarichi di governo per i successivi sette anni, durante i quali la figura principale della politica italiana continuò a essere </w:t>
      </w:r>
      <w:hyperlink r:id="rId17" w:tgtFrame="_blank" w:tooltip="Francesco Crispi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 xml:space="preserve">Francesco </w:t>
        </w:r>
        <w:proofErr w:type="spellStart"/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Crispi</w:t>
        </w:r>
        <w:proofErr w:type="spellEnd"/>
      </w:hyperlink>
      <w:r w:rsidR="00EA5A12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374E1F" w:rsidRPr="00875DF8" w:rsidRDefault="00374E1F" w:rsidP="00875DF8">
      <w:pPr>
        <w:spacing w:after="0" w:line="240" w:lineRule="auto"/>
        <w:jc w:val="both"/>
        <w:rPr>
          <w:rFonts w:eastAsia="Times New Roman" w:cstheme="minorHAnsi"/>
          <w:b/>
          <w:bCs/>
          <w:sz w:val="28"/>
          <w:szCs w:val="28"/>
          <w:lang w:eastAsia="it-IT"/>
        </w:rPr>
      </w:pPr>
      <w:r w:rsidRPr="00374E1F">
        <w:rPr>
          <w:rFonts w:eastAsia="Times New Roman" w:cstheme="minorHAnsi"/>
          <w:b/>
          <w:bCs/>
          <w:sz w:val="28"/>
          <w:szCs w:val="28"/>
          <w:lang w:eastAsia="it-IT"/>
        </w:rPr>
        <w:t>SECONDO GOVERNO 1903</w:t>
      </w:r>
    </w:p>
    <w:p w:rsidR="00374E1F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Il 3 novembre </w:t>
      </w:r>
      <w:hyperlink r:id="rId18" w:tgtFrame="_blank" w:tooltip="1903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1903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 Giolitti ritornò al governo</w:t>
      </w:r>
      <w:r w:rsidR="00374E1F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</w:t>
      </w:r>
    </w:p>
    <w:p w:rsidR="00875DF8" w:rsidRPr="00875DF8" w:rsidRDefault="00374E1F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La sua politica cambiò in modo radicale: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intraprese un'azione di convincimento nei confronti del </w:t>
      </w:r>
      <w:hyperlink r:id="rId19" w:tgtFrame="_blank" w:tooltip="Partito Socialista Italiano" w:history="1">
        <w:r w:rsidR="00875DF8"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Partito Socialista</w:t>
        </w:r>
      </w:hyperlink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 per coinvolgerlo nel governo, rivolgendosi direttamente a un "consigliere" socialista, </w:t>
      </w:r>
      <w:hyperlink r:id="rId20" w:tgtFrame="_blank" w:tooltip="Filippo Turati" w:history="1">
        <w:r w:rsidR="00875DF8"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Filippo Turati</w:t>
        </w:r>
      </w:hyperlink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, che avrebbe voluto persino come suo ministro (Turati però rifiutò anche in seguito alle pressioni della corrente massimalista del PSI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, ossia quella più estremista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)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L'apertura nei confronti dei socialisti fu di fatto una costante di questa fase di governo</w:t>
      </w:r>
      <w:r w:rsidR="00CE00B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Giolitti era infatti convinto </w:t>
      </w:r>
      <w:r w:rsidR="00F307DE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della necessità di venire incontro alle richieste dei lavoratori: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tenere bassi i salari non avrebbe </w:t>
      </w:r>
      <w:r w:rsidR="00F307DE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infatti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consentito ai lavoratori</w:t>
      </w:r>
      <w:r w:rsidR="00CE00B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di condurre una vita dignitosa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</w:t>
      </w:r>
      <w:r w:rsidR="00F307DE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e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avrebbe</w:t>
      </w:r>
      <w:r w:rsidR="00F307DE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ostacolato l</w:t>
      </w:r>
      <w:r w:rsidR="004E169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’acquisto</w:t>
      </w:r>
      <w:r w:rsidR="00F307DE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dei prodotti</w:t>
      </w:r>
      <w:r w:rsidR="004E169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industriali</w:t>
      </w:r>
      <w:r w:rsidR="00F307DE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, causando così una </w:t>
      </w:r>
      <w:r w:rsidR="004E169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crisi di sovrapproduzione dovuta all’invenduto.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Per la riuscita di questo suo progetto occorrevano due condizioni: la prima che i socialisti rinunciassero alle </w:t>
      </w:r>
      <w:r w:rsidR="00F205B9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loro aspirazioni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rivoluzionarie, </w:t>
      </w:r>
      <w:r w:rsidR="00F205B9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la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seconda che la </w:t>
      </w:r>
      <w:hyperlink r:id="rId21" w:tgtFrame="_blank" w:tooltip="Borghesia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borghesia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 italiana fosse disponibile a rinunciare</w:t>
      </w:r>
      <w:r w:rsidR="00F205B9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in parte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ai suoi privilegi di classe</w:t>
      </w:r>
      <w:r w:rsidR="00CE00B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, accettando</w:t>
      </w:r>
      <w:r w:rsidR="00F205B9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moderate </w:t>
      </w:r>
      <w:hyperlink r:id="rId22" w:tgtFrame="_blank" w:tooltip="Riformismo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riforme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Giolitti inaugurò </w:t>
      </w:r>
      <w:r w:rsidR="00F205B9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così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una nuova linea politica: lo Stato non doveva reprimere con la violenza le proteste dei lavorat</w:t>
      </w:r>
      <w:r w:rsidR="00F205B9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ori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, parteggiando per gli imprenditori, non doveva</w:t>
      </w:r>
      <w:r w:rsidR="00F205B9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quindi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spalleggiare l'una o l'altra parte in conflitto</w:t>
      </w:r>
      <w:r w:rsidR="00F205B9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, ma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semplicemente svolgere una funzione mediatrice, </w:t>
      </w:r>
      <w:r w:rsidR="00F205B9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consentendo gli scioperi e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limitandosi alla tutela dell'ordine pubblico.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Questi concetti, che oggi possono sembrare scontati, erano all'epoca considerati "rivoluzionari". I conservatori criticarono duramente </w:t>
      </w:r>
      <w:r w:rsidR="001B57B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queste scelte e </w:t>
      </w:r>
      <w:r w:rsidR="00B66AE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restarono </w:t>
      </w:r>
      <w:r w:rsidR="00B66AE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lastRenderedPageBreak/>
        <w:t xml:space="preserve">scioccati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quando </w:t>
      </w:r>
      <w:r w:rsidR="001B57B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appresero che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il governo non sarebbe intervenuto nei confronti degli scioperi e chegli imprenditori </w:t>
      </w:r>
      <w:r w:rsidR="00B66AE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avrebbero dovuto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concedere adeguati aumenti salariali ai lavoratori.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7248CC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Giolitti si fece inoltre promotore di 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norme a tutela del lavoro (in particolare infantile e femminile), 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di norme 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sull'</w:t>
      </w:r>
      <w:hyperlink r:id="rId23" w:tgtFrame="_blank" w:tooltip="Disabilità" w:history="1">
        <w:r w:rsidR="00875DF8"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invalidità</w:t>
        </w:r>
      </w:hyperlink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 e sugli infortuni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7248CC" w:rsidRPr="007248CC" w:rsidRDefault="007248CC" w:rsidP="00875DF8">
      <w:pPr>
        <w:spacing w:after="0" w:line="240" w:lineRule="auto"/>
        <w:jc w:val="both"/>
        <w:rPr>
          <w:rFonts w:eastAsia="Times New Roman" w:cstheme="minorHAnsi"/>
          <w:b/>
          <w:bCs/>
          <w:sz w:val="28"/>
          <w:szCs w:val="28"/>
          <w:shd w:val="clear" w:color="auto" w:fill="FFFFFF"/>
          <w:lang w:eastAsia="it-IT"/>
        </w:rPr>
      </w:pPr>
      <w:r w:rsidRPr="007248CC">
        <w:rPr>
          <w:rFonts w:eastAsia="Times New Roman" w:cstheme="minorHAnsi"/>
          <w:b/>
          <w:bCs/>
          <w:sz w:val="28"/>
          <w:szCs w:val="28"/>
          <w:shd w:val="clear" w:color="auto" w:fill="FFFFFF"/>
          <w:lang w:eastAsia="it-IT"/>
        </w:rPr>
        <w:t xml:space="preserve">TERZO GOVERNO </w:t>
      </w:r>
      <w:r w:rsidR="00875DF8" w:rsidRPr="00875DF8">
        <w:rPr>
          <w:rFonts w:eastAsia="Times New Roman" w:cstheme="minorHAnsi"/>
          <w:b/>
          <w:bCs/>
          <w:sz w:val="28"/>
          <w:szCs w:val="28"/>
          <w:shd w:val="clear" w:color="auto" w:fill="FFFFFF"/>
          <w:lang w:eastAsia="it-IT"/>
        </w:rPr>
        <w:t>1906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Giolitti </w:t>
      </w:r>
      <w:r w:rsidR="007248CC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continuò la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politica già avviata nel suo secondo governo. Il terzo ministero Giolitti passò alla storia come "lungo e fattivo" ed è indicato come il "lungo ministero".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Il buon andamento economico e l</w:t>
      </w:r>
      <w:r w:rsidR="007248CC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a corretta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gestione del bilancio portarono a un'importante stabilità monetaria</w:t>
      </w:r>
      <w:r w:rsidR="007248CC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.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La </w:t>
      </w:r>
      <w:hyperlink r:id="rId24" w:tgtFrame="_blank" w:tooltip="Lira italiana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lira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 godeva di una stabilità mai prima raggiunta</w:t>
      </w:r>
      <w:r w:rsidR="007248CC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,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al punto che sui mercati internazionali la moneta italiana era quotata al di sopra dell'oro </w:t>
      </w:r>
      <w:r w:rsidR="007248CC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e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preferita alla </w:t>
      </w:r>
      <w:hyperlink r:id="rId25" w:tgtFrame="_blank" w:tooltip="Sterlina britannica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sterlina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 inglese.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Furono inoltre introdotte alcune leggi volte a tutelare il lavoro femminile e infantile con nuovi limiti di orario (12 ore) e di età (12 anni).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Giolitti </w:t>
      </w:r>
      <w:r w:rsidR="00554203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cercò l’appoggio dei cattolici con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il Patto Gentiloni, un</w:t>
      </w:r>
      <w:r w:rsidR="00554203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’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intesa che avrebbe garantito a Giolitti l'appoggio elettorale dei cattolici  in cambio dell'impegno ad accantonare la legge sul divorzio (già proposta da Zanardelli), a difendere le scuole confessionali, </w:t>
      </w:r>
      <w:r w:rsidR="00554203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e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a garantire alle attività economico-sociali dei cattolici lo stesso trattamento che lo Stato riservava a quelle dei laici.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554203" w:rsidRPr="00554203" w:rsidRDefault="00554203" w:rsidP="00875DF8">
      <w:pPr>
        <w:spacing w:after="0" w:line="240" w:lineRule="auto"/>
        <w:jc w:val="both"/>
        <w:rPr>
          <w:rFonts w:eastAsia="Times New Roman" w:cstheme="minorHAnsi"/>
          <w:b/>
          <w:bCs/>
          <w:sz w:val="28"/>
          <w:szCs w:val="28"/>
          <w:shd w:val="clear" w:color="auto" w:fill="FFFFFF"/>
          <w:lang w:eastAsia="it-IT"/>
        </w:rPr>
      </w:pPr>
      <w:r w:rsidRPr="00554203">
        <w:rPr>
          <w:rFonts w:eastAsia="Times New Roman" w:cstheme="minorHAnsi"/>
          <w:b/>
          <w:bCs/>
          <w:sz w:val="28"/>
          <w:szCs w:val="28"/>
          <w:shd w:val="clear" w:color="auto" w:fill="FFFFFF"/>
          <w:lang w:eastAsia="it-IT"/>
        </w:rPr>
        <w:t>QUARTO GOVERNO 1911-1914</w:t>
      </w:r>
    </w:p>
    <w:p w:rsidR="00554203" w:rsidRDefault="005E7D26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Giolitti fu ancora 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primo ministro dal </w:t>
      </w:r>
      <w:hyperlink r:id="rId26" w:tgtFrame="_blank" w:tooltip="1911" w:history="1">
        <w:r w:rsidR="00875DF8"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1911</w:t>
        </w:r>
      </w:hyperlink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 al </w:t>
      </w:r>
      <w:hyperlink r:id="rId27" w:tgtFrame="_blank" w:tooltip="1914" w:history="1">
        <w:r w:rsidR="00875DF8"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1914</w:t>
        </w:r>
      </w:hyperlink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. 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Il programma prevedeva l'introduzione del suffragio universale maschile, che fu istituito nel 1912. </w:t>
      </w:r>
    </w:p>
    <w:p w:rsid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Giolitti diede inizio alla </w:t>
      </w:r>
      <w:hyperlink r:id="rId28" w:tgtFrame="_blank" w:tooltip="Guerra italo-turca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conquista della Libia</w:t>
        </w:r>
      </w:hyperlink>
      <w:r w:rsidR="00554203">
        <w:rPr>
          <w:rFonts w:eastAsia="Times New Roman" w:cstheme="minorHAnsi"/>
          <w:sz w:val="28"/>
          <w:szCs w:val="28"/>
          <w:lang w:eastAsia="it-IT"/>
        </w:rPr>
        <w:t xml:space="preserve"> nel 1911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 La guerra si prolungò oltre le aspettative: per costringere l'</w:t>
      </w:r>
      <w:hyperlink r:id="rId29" w:tgtFrame="_blank" w:tooltip="Impero ottomano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Impero ottomano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 </w:t>
      </w:r>
      <w:r w:rsidR="00565E73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(che governava la Libia)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alla resa fu necessario richiamare alle armi quasi mezzo milione di uomini</w:t>
      </w:r>
      <w:r w:rsidR="006C2A87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</w:t>
      </w:r>
    </w:p>
    <w:p w:rsidR="006C2A87" w:rsidRPr="00875DF8" w:rsidRDefault="006C2A87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Dopo un anno di combattimenti, la Libia fu conquistata, ma si rivelò una colonia priva di risorse utili all’Italia, a causa del suo territorio arido e desertico. Per questo motivo la Libia venne definita uno </w:t>
      </w:r>
      <w:r w:rsidR="00A40BD7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“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scatolone di sabbia</w:t>
      </w:r>
      <w:r w:rsidR="00A40BD7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”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</w:t>
      </w:r>
    </w:p>
    <w:p w:rsid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E47E38" w:rsidRDefault="00E47E3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E47E38" w:rsidRDefault="00E47E3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E47E38" w:rsidRPr="00875DF8" w:rsidRDefault="00E47E3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C14138" w:rsidRPr="00C14138" w:rsidRDefault="00C14138" w:rsidP="00875DF8">
      <w:pPr>
        <w:spacing w:after="0" w:line="240" w:lineRule="auto"/>
        <w:jc w:val="both"/>
        <w:rPr>
          <w:rFonts w:eastAsia="Times New Roman" w:cstheme="minorHAnsi"/>
          <w:b/>
          <w:bCs/>
          <w:sz w:val="28"/>
          <w:szCs w:val="28"/>
          <w:shd w:val="clear" w:color="auto" w:fill="FFFFFF"/>
          <w:lang w:eastAsia="it-IT"/>
        </w:rPr>
      </w:pPr>
      <w:r w:rsidRPr="00C14138">
        <w:rPr>
          <w:rFonts w:eastAsia="Times New Roman" w:cstheme="minorHAnsi"/>
          <w:b/>
          <w:bCs/>
          <w:sz w:val="28"/>
          <w:szCs w:val="28"/>
          <w:shd w:val="clear" w:color="auto" w:fill="FFFFFF"/>
          <w:lang w:eastAsia="it-IT"/>
        </w:rPr>
        <w:lastRenderedPageBreak/>
        <w:t>LA PRIMA GUERRA MONDIALE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Nel 191</w:t>
      </w:r>
      <w:r w:rsidR="00C1413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4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si svolsero nuove elezioni e presidente del consiglio divenne il giolittiano </w:t>
      </w:r>
      <w:proofErr w:type="spellStart"/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Sal</w:t>
      </w:r>
      <w:r w:rsidR="006164F9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andra</w:t>
      </w:r>
      <w:proofErr w:type="spellEnd"/>
      <w:r w:rsidR="006164F9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C14138" w:rsidRDefault="0093529E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L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’attentato all’arciduca austriaco Francesco Fer</w:t>
      </w:r>
      <w:r w:rsidR="00A740E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dinando da parte di uno studente 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serbo fu la scintilla che fece scoppiare la 1 guerra mondiale che vide contrapporsi l’Austria, appoggiata dalla Germania, alla Serbia, appoggiata dalle potenze dell’Intesa (Francia, Inghilterra e Russia).</w:t>
      </w:r>
    </w:p>
    <w:p w:rsidR="0093529E" w:rsidRDefault="0093529E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</w:p>
    <w:p w:rsidR="00E47E38" w:rsidRDefault="00E47E3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Nel 1882 l’Italia aveva firmato un trattato con Austria e Germania noto come “Triplice Alleanza”, in base al quale se uno degli alleati fosse stato aggredito da un altro stato e costretto a difendersi in guerra, gli alleati lo avrebbero sostenuto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ricevendo in cambio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adeguati compensi territoriali</w:t>
      </w:r>
    </w:p>
    <w:p w:rsidR="00720183" w:rsidRDefault="00E47E3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L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'Austria 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non era stata aggredita militarmente e non aveva prospettato all’Italia alcun compenso in cambio del suo aiuto, quindi l'Italia non era obbligata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a 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intervenire.</w:t>
      </w:r>
    </w:p>
    <w:p w:rsidR="00720183" w:rsidRDefault="003C0690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Giolitti scrisse al governo italiano che non c'era obbligo alcuno di intervenire a fianco degli </w:t>
      </w:r>
      <w:hyperlink r:id="rId30" w:tgtFrame="_blank" w:tooltip="Imperi centrali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Imperi centrali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</w:t>
      </w:r>
    </w:p>
    <w:p w:rsidR="00875DF8" w:rsidRPr="00875DF8" w:rsidRDefault="003C0690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Il governo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dichiarò la sua neutralità</w:t>
      </w:r>
      <w:r w:rsidR="00720183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e i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n Italia si scatenò subito un forte dibattito fra interventisti e neutralisti.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Tuttavia, senza che il Parlamento e il resto del governo fossero informati, complice il sovrano, </w:t>
      </w:r>
      <w:hyperlink r:id="rId31" w:tgtFrame="_blank" w:tooltip="Antonio Salandra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Antonio Salandra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 firmò il </w:t>
      </w:r>
      <w:hyperlink r:id="rId32" w:tgtFrame="_blank" w:tooltip="Patto di Londra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Patto di Londra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 il 26 aprile del 1915</w:t>
      </w:r>
      <w:r w:rsidR="0008644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, con cui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l'Italia </w:t>
      </w:r>
      <w:r w:rsidR="0008644B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si impegnava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a scendere in guerra contro gli imperi centrali nell'arco di un mese. </w:t>
      </w:r>
    </w:p>
    <w:p w:rsidR="007B5A50" w:rsidRDefault="007B5A50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</w:p>
    <w:p w:rsidR="007B5A50" w:rsidRPr="00875DF8" w:rsidRDefault="007B5A50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Lo Statuto Albertino mostrava la sua fragilità: l’articolo 5 consentiva 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infatti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al sovrano di dichiarare la guerra senza il preventivo consenso del Parlamento.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Giolitti ammonì il sovrano che la maggioranza era contraria all'intervento, che l'esercito non era pronto e che la guerra avrebbe potuto portare </w:t>
      </w:r>
      <w:r w:rsidR="00E67AEF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a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una rivoluzione. Ma </w:t>
      </w:r>
      <w:r w:rsidR="00E67AEF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Giolitti comprese che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non adempiere all'impegno preso con </w:t>
      </w:r>
      <w:r w:rsidR="007B5A50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il Patto di Londra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equivaleva a compromettere il buon nome del Paese e avrebbe implicato, tra l'altro, l'abdicazione del re. 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Default="00875DF8" w:rsidP="00875DF8">
      <w:pPr>
        <w:spacing w:after="0" w:line="240" w:lineRule="auto"/>
        <w:jc w:val="both"/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Conclusosi vittoriosamente il conflitto, Giolitti tornò in politica e si candidò alle </w:t>
      </w:r>
      <w:hyperlink r:id="rId33" w:tgtFrame="_blank" w:tooltip="Elezioni politiche italiane del 1919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elezioni italiane del 1919</w:t>
        </w:r>
      </w:hyperlink>
      <w:r w:rsidR="001455B9">
        <w:t>.</w:t>
      </w:r>
    </w:p>
    <w:p w:rsidR="001455B9" w:rsidRDefault="001455B9" w:rsidP="00875DF8">
      <w:pPr>
        <w:spacing w:after="0" w:line="240" w:lineRule="auto"/>
        <w:jc w:val="both"/>
      </w:pPr>
    </w:p>
    <w:p w:rsidR="001455B9" w:rsidRDefault="001455B9" w:rsidP="00875DF8">
      <w:pPr>
        <w:spacing w:after="0" w:line="240" w:lineRule="auto"/>
        <w:jc w:val="both"/>
      </w:pPr>
    </w:p>
    <w:p w:rsidR="001455B9" w:rsidRDefault="001455B9" w:rsidP="00875DF8">
      <w:pPr>
        <w:spacing w:after="0" w:line="240" w:lineRule="auto"/>
        <w:jc w:val="both"/>
      </w:pPr>
    </w:p>
    <w:p w:rsidR="001455B9" w:rsidRDefault="001455B9" w:rsidP="00875DF8">
      <w:pPr>
        <w:spacing w:after="0" w:line="240" w:lineRule="auto"/>
        <w:jc w:val="both"/>
      </w:pPr>
    </w:p>
    <w:p w:rsidR="001455B9" w:rsidRDefault="001455B9" w:rsidP="00875DF8">
      <w:pPr>
        <w:spacing w:after="0" w:line="240" w:lineRule="auto"/>
        <w:jc w:val="both"/>
      </w:pPr>
    </w:p>
    <w:p w:rsidR="001455B9" w:rsidRDefault="001455B9" w:rsidP="00875DF8">
      <w:pPr>
        <w:spacing w:after="0" w:line="240" w:lineRule="auto"/>
        <w:jc w:val="both"/>
      </w:pPr>
    </w:p>
    <w:p w:rsidR="001455B9" w:rsidRDefault="001455B9" w:rsidP="00875DF8">
      <w:pPr>
        <w:spacing w:after="0" w:line="240" w:lineRule="auto"/>
        <w:jc w:val="both"/>
      </w:pPr>
    </w:p>
    <w:p w:rsidR="001455B9" w:rsidRPr="00875DF8" w:rsidRDefault="001455B9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7B5A50" w:rsidRPr="007B5A50" w:rsidRDefault="007B5A50" w:rsidP="00875DF8">
      <w:pPr>
        <w:spacing w:after="0" w:line="240" w:lineRule="auto"/>
        <w:jc w:val="both"/>
        <w:rPr>
          <w:rFonts w:eastAsia="Times New Roman" w:cstheme="minorHAnsi"/>
          <w:b/>
          <w:bCs/>
          <w:sz w:val="28"/>
          <w:szCs w:val="28"/>
          <w:shd w:val="clear" w:color="auto" w:fill="FFFFFF"/>
          <w:lang w:eastAsia="it-IT"/>
        </w:rPr>
      </w:pPr>
      <w:r w:rsidRPr="007B5A50">
        <w:rPr>
          <w:rFonts w:eastAsia="Times New Roman" w:cstheme="minorHAnsi"/>
          <w:b/>
          <w:bCs/>
          <w:sz w:val="28"/>
          <w:szCs w:val="28"/>
          <w:shd w:val="clear" w:color="auto" w:fill="FFFFFF"/>
          <w:lang w:eastAsia="it-IT"/>
        </w:rPr>
        <w:t>QU</w:t>
      </w:r>
      <w:r>
        <w:rPr>
          <w:rFonts w:eastAsia="Times New Roman" w:cstheme="minorHAnsi"/>
          <w:b/>
          <w:bCs/>
          <w:sz w:val="28"/>
          <w:szCs w:val="28"/>
          <w:shd w:val="clear" w:color="auto" w:fill="FFFFFF"/>
          <w:lang w:eastAsia="it-IT"/>
        </w:rPr>
        <w:t xml:space="preserve">INTO </w:t>
      </w:r>
      <w:r w:rsidRPr="007B5A50">
        <w:rPr>
          <w:rFonts w:eastAsia="Times New Roman" w:cstheme="minorHAnsi"/>
          <w:b/>
          <w:bCs/>
          <w:sz w:val="28"/>
          <w:szCs w:val="28"/>
          <w:shd w:val="clear" w:color="auto" w:fill="FFFFFF"/>
          <w:lang w:eastAsia="it-IT"/>
        </w:rPr>
        <w:t>GOVERNO 1920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L'ultimo governo di Giolitti incominciò nel giugno del </w:t>
      </w:r>
      <w:hyperlink r:id="rId34" w:tgtFrame="_blank" w:tooltip="1920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1920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, proprio durante il cosiddetto "</w:t>
      </w:r>
      <w:hyperlink r:id="rId35" w:tgtFrame="_blank" w:tooltip="Biennio rosso in Italia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biennio rosso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" (</w:t>
      </w:r>
      <w:hyperlink r:id="rId36" w:tgtFrame="_blank" w:tooltip="1919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1919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-</w:t>
      </w:r>
      <w:hyperlink r:id="rId37" w:tgtFrame="_blank" w:tooltip="1920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1920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), ossia due anni di violente proteste e scioperi organizzati dai socialisti e dai comunisti.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Nei confronti delle agitazioni sociali, Giolitti, ancora una volta, non accettò le richieste di agrari e imprenditori che chiedevano al governo di intervenire con la forza. 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La situazione socio-politica era comunque più complessa</w:t>
      </w:r>
      <w:r w:rsidR="00E355CF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: il Paese usciva dalla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grave crisi economica post-bellica </w:t>
      </w:r>
      <w:r w:rsidR="00E355CF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e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si </w:t>
      </w:r>
      <w:r w:rsidR="00E355CF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erano rafforzati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i contrasti politici</w:t>
      </w:r>
      <w:r w:rsidR="00E355CF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tra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le istanze socialiste e </w:t>
      </w:r>
      <w:r w:rsidR="00E355CF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quelle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della borghesia imprenditoriale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Giolitti era preoccupato soprattutto per le disastrose condizioni in cui versavano le finanze dello stato.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360C69" w:rsidRPr="00360C69" w:rsidRDefault="00360C69" w:rsidP="00875DF8">
      <w:pPr>
        <w:spacing w:after="0" w:line="240" w:lineRule="auto"/>
        <w:jc w:val="both"/>
        <w:rPr>
          <w:rFonts w:eastAsia="Times New Roman" w:cstheme="minorHAnsi"/>
          <w:b/>
          <w:bCs/>
          <w:sz w:val="28"/>
          <w:szCs w:val="28"/>
          <w:shd w:val="clear" w:color="auto" w:fill="FFFFFF"/>
          <w:lang w:eastAsia="it-IT"/>
        </w:rPr>
      </w:pPr>
      <w:r w:rsidRPr="00360C69">
        <w:rPr>
          <w:rFonts w:eastAsia="Times New Roman" w:cstheme="minorHAnsi"/>
          <w:b/>
          <w:bCs/>
          <w:sz w:val="28"/>
          <w:szCs w:val="28"/>
          <w:shd w:val="clear" w:color="auto" w:fill="FFFFFF"/>
          <w:lang w:eastAsia="it-IT"/>
        </w:rPr>
        <w:t xml:space="preserve">LA QUESTIONE DI FIUME </w:t>
      </w:r>
    </w:p>
    <w:p w:rsidR="00360C69" w:rsidRDefault="00360C69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All’Italia erano state promesse dall’Intesa alcune terre: Istria, Dalmazia e Fiume.</w:t>
      </w:r>
    </w:p>
    <w:p w:rsidR="00360C69" w:rsidRDefault="00360C69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Tuttavia queste terre non furono concesse a seguito della promulgazione dei 12 Punti di Wilson (Presidente degli USA, che era intervenuto in guerra e aveva deciso le sorti </w:t>
      </w:r>
      <w:r w:rsidR="006F36B2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del conflitto). 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Nei 12 punti si stabiliva che nessun paese poteva acquisire terre di altre nazionalità, dunque l’Italia doveva rinunciare a quei territori.</w:t>
      </w:r>
    </w:p>
    <w:p w:rsidR="00360C69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Giolitti prese contatti con la </w:t>
      </w:r>
      <w:hyperlink r:id="rId38" w:tgtFrame="_blank" w:tooltip="Jugoslavia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Jugoslavia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 e fu firmato il </w:t>
      </w:r>
      <w:hyperlink r:id="rId39" w:tgtFrame="_blank" w:tooltip="Trattato di Rapallo (1920)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trattato di Rapallo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 nel novembre </w:t>
      </w:r>
      <w:hyperlink r:id="rId40" w:tgtFrame="_blank" w:tooltip="1920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1920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, dove fu deciso che </w:t>
      </w:r>
      <w:hyperlink r:id="rId41" w:tgtFrame="_blank" w:tooltip="Fiume (Croazia)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Fiume</w:t>
        </w:r>
      </w:hyperlink>
      <w:r w:rsidR="00065775">
        <w:t xml:space="preserve">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sarebbe diventata città libera; l'Italia avrebbe </w:t>
      </w:r>
      <w:r w:rsidR="00360C69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inoltre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rinunciato a ogni rivendicazione sulla </w:t>
      </w:r>
      <w:hyperlink r:id="rId42" w:tgtFrame="_blank" w:tooltip="Dalmazia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Dalmazia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, con l'eccezione della città di </w:t>
      </w:r>
      <w:hyperlink r:id="rId43" w:tgtFrame="_blank" w:tooltip="Zara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Zara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. </w:t>
      </w:r>
    </w:p>
    <w:p w:rsidR="00360C69" w:rsidRDefault="00360C69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Il </w:t>
      </w:r>
      <w:hyperlink r:id="rId44" w:tgtFrame="_blank" w:tooltip="Reggenza italiana del Carnaro" w:history="1">
        <w:r w:rsidR="00875DF8"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governo illegale</w:t>
        </w:r>
      </w:hyperlink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 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di Fiume 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che nel frattempo si era instaurato per opera d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el poeta </w:t>
      </w:r>
      <w:hyperlink r:id="rId45" w:tgtFrame="_blank" w:tooltip="Gabriele D'Annunzio" w:history="1">
        <w:r w:rsidR="00875DF8"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Gabriele D'Annunzio</w:t>
        </w:r>
      </w:hyperlink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,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rifiut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ò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di riconoscere il trattato di Rapallo. 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Giolitti allora mandò contro la città ribelle il regio esercito</w:t>
      </w:r>
      <w:r w:rsidR="00360C69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e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 D'Annunzio firmò la resa </w:t>
      </w:r>
      <w:r w:rsidR="00360C69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nel </w:t>
      </w:r>
      <w:hyperlink r:id="rId46" w:tgtFrame="_blank" w:tooltip="1920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1920</w:t>
        </w:r>
      </w:hyperlink>
      <w:r w:rsidR="00360C69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</w:t>
      </w:r>
    </w:p>
    <w:p w:rsid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4176F3" w:rsidRPr="00875DF8" w:rsidRDefault="004176F3" w:rsidP="00875DF8">
      <w:pPr>
        <w:spacing w:after="0" w:line="240" w:lineRule="auto"/>
        <w:jc w:val="both"/>
        <w:rPr>
          <w:rFonts w:eastAsia="Times New Roman" w:cstheme="minorHAnsi"/>
          <w:b/>
          <w:bCs/>
          <w:sz w:val="28"/>
          <w:szCs w:val="28"/>
          <w:lang w:eastAsia="it-IT"/>
        </w:rPr>
      </w:pPr>
      <w:r w:rsidRPr="004176F3">
        <w:rPr>
          <w:rFonts w:eastAsia="Times New Roman" w:cstheme="minorHAnsi"/>
          <w:b/>
          <w:bCs/>
          <w:sz w:val="28"/>
          <w:szCs w:val="28"/>
          <w:lang w:eastAsia="it-IT"/>
        </w:rPr>
        <w:t>GIOLITTI E IL FASCISMO</w:t>
      </w:r>
    </w:p>
    <w:p w:rsidR="004176F3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Per porre freno alle sempre più frequenti agitazioni socialiste, Giolitti tollerò</w:t>
      </w:r>
      <w:r w:rsidR="004176F3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e in qualche modo </w:t>
      </w:r>
      <w:r w:rsidR="00273C01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si servì del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le azioni delle </w:t>
      </w:r>
      <w:hyperlink r:id="rId47" w:tgtFrame="_blank" w:tooltip="Squadrismo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squadre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 </w:t>
      </w:r>
      <w:hyperlink r:id="rId48" w:tgtFrame="_blank" w:tooltip="Fascismo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fasciste</w:t>
        </w:r>
      </w:hyperlink>
      <w:r w:rsidR="00273C01">
        <w:rPr>
          <w:rFonts w:eastAsia="Times New Roman" w:cstheme="minorHAnsi"/>
          <w:sz w:val="28"/>
          <w:szCs w:val="28"/>
          <w:lang w:eastAsia="it-IT"/>
        </w:rPr>
        <w:t>. Si trattava di squadre armate</w:t>
      </w:r>
      <w:r w:rsidR="004176F3">
        <w:rPr>
          <w:rFonts w:eastAsia="Times New Roman" w:cstheme="minorHAnsi"/>
          <w:sz w:val="28"/>
          <w:szCs w:val="28"/>
          <w:lang w:eastAsia="it-IT"/>
        </w:rPr>
        <w:t xml:space="preserve"> nate nel 1919 per opera di Benito Mussolini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, </w:t>
      </w:r>
      <w:r w:rsidR="004176F3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uscito dal partito socialista </w:t>
      </w:r>
      <w:r w:rsidR="00273C01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(ne fu cacciato per le sue posizioni interventiste) </w:t>
      </w:r>
      <w:r w:rsidR="004176F3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e messosi a capo di un movimento di ex combattenti reduci di guerra</w:t>
      </w:r>
      <w:r w:rsidR="00273C01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,</w:t>
      </w:r>
      <w:r w:rsidR="004176F3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che con la forza e la violenza si s</w:t>
      </w:r>
      <w:r w:rsidR="009A5C17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cagliavano contro i socialisti, </w:t>
      </w:r>
      <w:r w:rsidR="004176F3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in particolare contro gli scioperanti o coloro che manifestavano dissenso).</w:t>
      </w:r>
    </w:p>
    <w:p w:rsidR="00875DF8" w:rsidRPr="00875DF8" w:rsidRDefault="004176F3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lastRenderedPageBreak/>
        <w:t>Giolitti non immaginava il potenziale distruttivo di questo movimento nascente e c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rede</w:t>
      </w:r>
      <w:r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va </w:t>
      </w:r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che la loro violenza potesse essere in seguito riassorbita all'interno del sistema </w:t>
      </w:r>
      <w:hyperlink r:id="rId49" w:tgtFrame="_blank" w:tooltip="Democrazia" w:history="1">
        <w:r w:rsidR="00875DF8"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democratico</w:t>
        </w:r>
      </w:hyperlink>
      <w:r w:rsidR="00875DF8"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 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B55E75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Alle elezioni del 1921 Giolitti fece entrare nella sua lista esponenti del partito fascista, con il conseguente ingresso in parlamento di 35 deputati fascisti. 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Giolitti aveva pensato di poter "costituzionalizzare", come aveva fatto con Turati, i fascisti che si sarebbero lasciati assimilare dal sistema liberale</w:t>
      </w:r>
      <w:r w:rsidR="00B55E75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Quando Mussolini si dimostrò pronto alla presa del potere con la forza</w:t>
      </w:r>
      <w:r w:rsidR="00B55E75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,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con la </w:t>
      </w:r>
      <w:hyperlink r:id="rId50" w:tgtFrame="_blank" w:tooltip="Marcia su Roma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marcia su Roma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, Giolitti si dimostrò pronto ad assumere un nuovo governo con una rappresentanza del partito fascista.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L’allora capo del governo </w:t>
      </w:r>
      <w:proofErr w:type="spellStart"/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Facta</w:t>
      </w:r>
      <w:proofErr w:type="spellEnd"/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si dimise e il re affid</w:t>
      </w:r>
      <w:r w:rsidR="00B55E75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ò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a Mussolini l’incarico di formare un nuovo governo. 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Giolitti votò a favore del primo </w:t>
      </w:r>
      <w:hyperlink r:id="rId51" w:tgtFrame="_blank" w:tooltip="Governo Mussolini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governo Mussolini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, nel 1922. Questo governo era ancora formalmente nella legalità dello </w:t>
      </w:r>
      <w:hyperlink r:id="rId52" w:tgtFrame="_blank" w:tooltip="Statuto Albertino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Statuto Albertino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 e ottenne un ampio voto di fiducia da parte della Camera eletta nel 1921</w:t>
      </w:r>
      <w:r w:rsidR="00AD3364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AD3364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Dopo l'omicidio del deputato socialista </w:t>
      </w:r>
      <w:hyperlink r:id="rId53" w:tgtFrame="_blank" w:tooltip="Giacomo Matteotti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Matteotti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 da parte dei fascisti, colpevole di aver denunciato in parlamento </w:t>
      </w:r>
      <w:r w:rsidR="00AD3364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i 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brogli elettorali orditi dai fascisti, Giolitti criticò fortemente la "</w:t>
      </w:r>
      <w:hyperlink r:id="rId54" w:tgtFrame="_blank" w:tooltip="Secessione dell'Aventino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secessione dell'Aventino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" (</w:t>
      </w:r>
      <w:r w:rsidR="00AD3364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l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’abbandono dell’aula parlamentare da parte di molti deputati), sostenendo che la Camera era il luogo dove occorreva fare opposizione. </w:t>
      </w:r>
    </w:p>
    <w:p w:rsidR="00AD3364" w:rsidRDefault="00AD3364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shd w:val="clear" w:color="auto" w:fill="FFFFFF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Nel </w:t>
      </w:r>
      <w:hyperlink r:id="rId55" w:tgtFrame="_blank" w:tooltip="1924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1924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 votò per la prima volta contro il governo Mussolini in seguito alla legge sulla limitazione della </w:t>
      </w:r>
      <w:hyperlink r:id="rId56" w:tgtFrame="_blank" w:tooltip="Libertà di stampa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libertà di stampa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Giolitti rassegnò </w:t>
      </w:r>
      <w:r w:rsidR="00AD3364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poi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 le dimissioni e si appartò sempre più dalla vita politica, viaggiando in Europa.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Colpito da </w:t>
      </w:r>
      <w:hyperlink r:id="rId57" w:tgtFrame="_blank" w:tooltip="Broncopolmonite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broncopolmonite</w:t>
        </w:r>
      </w:hyperlink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 xml:space="preserve">, morì dopo una settimana di agonia </w:t>
      </w:r>
      <w:r w:rsidR="00AD3364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nel</w:t>
      </w:r>
      <w:r w:rsidRPr="00875DF8">
        <w:rPr>
          <w:rFonts w:eastAsia="Times New Roman" w:cstheme="minorHAnsi"/>
          <w:sz w:val="28"/>
          <w:szCs w:val="28"/>
          <w:shd w:val="clear" w:color="auto" w:fill="FFFFFF"/>
          <w:lang w:eastAsia="it-IT"/>
        </w:rPr>
        <w:t> </w:t>
      </w:r>
      <w:hyperlink r:id="rId58" w:tgtFrame="_blank" w:tooltip="1928" w:history="1">
        <w:r w:rsidRPr="00875DF8">
          <w:rPr>
            <w:rFonts w:eastAsia="Times New Roman" w:cstheme="minorHAnsi"/>
            <w:sz w:val="28"/>
            <w:szCs w:val="28"/>
            <w:bdr w:val="none" w:sz="0" w:space="0" w:color="auto" w:frame="1"/>
            <w:lang w:eastAsia="it-IT"/>
          </w:rPr>
          <w:t>1928</w:t>
        </w:r>
      </w:hyperlink>
      <w:r w:rsidR="00AD3364">
        <w:rPr>
          <w:rFonts w:eastAsia="Times New Roman" w:cstheme="minorHAnsi"/>
          <w:sz w:val="28"/>
          <w:szCs w:val="28"/>
          <w:lang w:eastAsia="it-IT"/>
        </w:rPr>
        <w:t>.</w:t>
      </w:r>
    </w:p>
    <w:p w:rsidR="00875DF8" w:rsidRPr="00875DF8" w:rsidRDefault="00875DF8" w:rsidP="00875DF8">
      <w:pPr>
        <w:spacing w:after="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p w:rsidR="00875DF8" w:rsidRPr="00875DF8" w:rsidRDefault="00875DF8" w:rsidP="00875DF8">
      <w:pPr>
        <w:jc w:val="both"/>
        <w:rPr>
          <w:rFonts w:cstheme="minorHAnsi"/>
          <w:sz w:val="28"/>
          <w:szCs w:val="28"/>
        </w:rPr>
      </w:pPr>
    </w:p>
    <w:sectPr w:rsidR="00875DF8" w:rsidRPr="00875DF8" w:rsidSect="0011057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875DF8"/>
    <w:rsid w:val="00065775"/>
    <w:rsid w:val="0008644B"/>
    <w:rsid w:val="0011057E"/>
    <w:rsid w:val="001455B9"/>
    <w:rsid w:val="001B57B8"/>
    <w:rsid w:val="001E56DD"/>
    <w:rsid w:val="00244D4D"/>
    <w:rsid w:val="00273C01"/>
    <w:rsid w:val="00360C69"/>
    <w:rsid w:val="00374E1F"/>
    <w:rsid w:val="003C0690"/>
    <w:rsid w:val="004162CD"/>
    <w:rsid w:val="004176F3"/>
    <w:rsid w:val="004E1698"/>
    <w:rsid w:val="00554203"/>
    <w:rsid w:val="00565E73"/>
    <w:rsid w:val="005E7D26"/>
    <w:rsid w:val="006164F9"/>
    <w:rsid w:val="006A5231"/>
    <w:rsid w:val="006C2A87"/>
    <w:rsid w:val="006F36B2"/>
    <w:rsid w:val="00720183"/>
    <w:rsid w:val="007248CC"/>
    <w:rsid w:val="00727B65"/>
    <w:rsid w:val="007B5A50"/>
    <w:rsid w:val="00875DF8"/>
    <w:rsid w:val="0093529E"/>
    <w:rsid w:val="009A5C17"/>
    <w:rsid w:val="00A40BD7"/>
    <w:rsid w:val="00A740EB"/>
    <w:rsid w:val="00AC504E"/>
    <w:rsid w:val="00AD3364"/>
    <w:rsid w:val="00B55E75"/>
    <w:rsid w:val="00B66AE8"/>
    <w:rsid w:val="00C14138"/>
    <w:rsid w:val="00CE00B8"/>
    <w:rsid w:val="00E355CF"/>
    <w:rsid w:val="00E47E38"/>
    <w:rsid w:val="00E67AEF"/>
    <w:rsid w:val="00E85B2E"/>
    <w:rsid w:val="00EA5A12"/>
    <w:rsid w:val="00F205B9"/>
    <w:rsid w:val="00F307DE"/>
    <w:rsid w:val="00F574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1057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75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875DF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81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96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7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63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9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4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5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3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9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34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8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4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9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8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7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7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3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5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0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8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5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26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4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4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6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5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1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8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0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9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6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3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1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2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7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8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8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7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0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9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3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8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4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26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2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7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6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6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it.m.wikipedia.org/wiki/Risorgimento" TargetMode="External"/><Relationship Id="rId18" Type="http://schemas.openxmlformats.org/officeDocument/2006/relationships/hyperlink" Target="https://it.m.wikipedia.org/wiki/1903" TargetMode="External"/><Relationship Id="rId26" Type="http://schemas.openxmlformats.org/officeDocument/2006/relationships/hyperlink" Target="https://it.m.wikipedia.org/wiki/1911" TargetMode="External"/><Relationship Id="rId39" Type="http://schemas.openxmlformats.org/officeDocument/2006/relationships/hyperlink" Target="https://it.m.wikipedia.org/wiki/Trattato_di_Rapallo_(1920)" TargetMode="External"/><Relationship Id="rId21" Type="http://schemas.openxmlformats.org/officeDocument/2006/relationships/hyperlink" Target="https://it.m.wikipedia.org/wiki/Borghesia" TargetMode="External"/><Relationship Id="rId34" Type="http://schemas.openxmlformats.org/officeDocument/2006/relationships/hyperlink" Target="https://it.m.wikipedia.org/wiki/1920" TargetMode="External"/><Relationship Id="rId42" Type="http://schemas.openxmlformats.org/officeDocument/2006/relationships/hyperlink" Target="https://it.m.wikipedia.org/wiki/Dalmazia" TargetMode="External"/><Relationship Id="rId47" Type="http://schemas.openxmlformats.org/officeDocument/2006/relationships/hyperlink" Target="https://it.m.wikipedia.org/wiki/Squadrismo" TargetMode="External"/><Relationship Id="rId50" Type="http://schemas.openxmlformats.org/officeDocument/2006/relationships/hyperlink" Target="https://it.m.wikipedia.org/wiki/Marcia_su_Roma" TargetMode="External"/><Relationship Id="rId55" Type="http://schemas.openxmlformats.org/officeDocument/2006/relationships/hyperlink" Target="https://it.m.wikipedia.org/wiki/1924" TargetMode="External"/><Relationship Id="rId7" Type="http://schemas.openxmlformats.org/officeDocument/2006/relationships/hyperlink" Target="https://it.m.wikipedia.org/wiki/Estrema_destra" TargetMode="External"/><Relationship Id="rId12" Type="http://schemas.openxmlformats.org/officeDocument/2006/relationships/hyperlink" Target="https://it.m.wikipedia.org/wiki/1848" TargetMode="External"/><Relationship Id="rId17" Type="http://schemas.openxmlformats.org/officeDocument/2006/relationships/hyperlink" Target="https://it.m.wikipedia.org/wiki/Francesco_Crispi" TargetMode="External"/><Relationship Id="rId25" Type="http://schemas.openxmlformats.org/officeDocument/2006/relationships/hyperlink" Target="https://it.m.wikipedia.org/wiki/Sterlina_britannica" TargetMode="External"/><Relationship Id="rId33" Type="http://schemas.openxmlformats.org/officeDocument/2006/relationships/hyperlink" Target="https://it.m.wikipedia.org/wiki/Elezioni_politiche_italiane_del_1919" TargetMode="External"/><Relationship Id="rId38" Type="http://schemas.openxmlformats.org/officeDocument/2006/relationships/hyperlink" Target="https://it.m.wikipedia.org/wiki/Jugoslavia" TargetMode="External"/><Relationship Id="rId46" Type="http://schemas.openxmlformats.org/officeDocument/2006/relationships/hyperlink" Target="https://it.m.wikipedia.org/wiki/1920" TargetMode="External"/><Relationship Id="rId59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it.m.wikipedia.org/wiki/Umberto_I_d%27Italia" TargetMode="External"/><Relationship Id="rId20" Type="http://schemas.openxmlformats.org/officeDocument/2006/relationships/hyperlink" Target="https://it.m.wikipedia.org/wiki/Filippo_Turati" TargetMode="External"/><Relationship Id="rId29" Type="http://schemas.openxmlformats.org/officeDocument/2006/relationships/hyperlink" Target="https://it.m.wikipedia.org/wiki/Impero_ottomano" TargetMode="External"/><Relationship Id="rId41" Type="http://schemas.openxmlformats.org/officeDocument/2006/relationships/hyperlink" Target="https://it.m.wikipedia.org/wiki/Fiume_(Croazia)" TargetMode="External"/><Relationship Id="rId54" Type="http://schemas.openxmlformats.org/officeDocument/2006/relationships/hyperlink" Target="https://it.m.wikipedia.org/wiki/Secessione_dell%27Aventino" TargetMode="External"/><Relationship Id="rId1" Type="http://schemas.openxmlformats.org/officeDocument/2006/relationships/styles" Target="styles.xml"/><Relationship Id="rId6" Type="http://schemas.openxmlformats.org/officeDocument/2006/relationships/hyperlink" Target="https://it.m.wikipedia.org/wiki/Estrema_sinistra" TargetMode="External"/><Relationship Id="rId11" Type="http://schemas.openxmlformats.org/officeDocument/2006/relationships/hyperlink" Target="https://it.m.wikipedia.org/wiki/Universit%C3%A0_degli_Studi_di_Torino" TargetMode="External"/><Relationship Id="rId24" Type="http://schemas.openxmlformats.org/officeDocument/2006/relationships/hyperlink" Target="https://it.m.wikipedia.org/wiki/Lira_italiana" TargetMode="External"/><Relationship Id="rId32" Type="http://schemas.openxmlformats.org/officeDocument/2006/relationships/hyperlink" Target="https://it.m.wikipedia.org/wiki/Patto_di_Londra" TargetMode="External"/><Relationship Id="rId37" Type="http://schemas.openxmlformats.org/officeDocument/2006/relationships/hyperlink" Target="https://it.m.wikipedia.org/wiki/1920" TargetMode="External"/><Relationship Id="rId40" Type="http://schemas.openxmlformats.org/officeDocument/2006/relationships/hyperlink" Target="https://it.m.wikipedia.org/wiki/1920" TargetMode="External"/><Relationship Id="rId45" Type="http://schemas.openxmlformats.org/officeDocument/2006/relationships/hyperlink" Target="https://it.m.wikipedia.org/wiki/Gabriele_D%27Annunzio" TargetMode="External"/><Relationship Id="rId53" Type="http://schemas.openxmlformats.org/officeDocument/2006/relationships/hyperlink" Target="https://it.m.wikipedia.org/wiki/Giacomo_Matteotti" TargetMode="External"/><Relationship Id="rId58" Type="http://schemas.openxmlformats.org/officeDocument/2006/relationships/hyperlink" Target="https://it.m.wikipedia.org/wiki/1928" TargetMode="External"/><Relationship Id="rId5" Type="http://schemas.openxmlformats.org/officeDocument/2006/relationships/hyperlink" Target="https://it.m.wikipedia.org/wiki/Trasformismo_(politica)" TargetMode="External"/><Relationship Id="rId15" Type="http://schemas.openxmlformats.org/officeDocument/2006/relationships/hyperlink" Target="https://it.m.wikipedia.org/wiki/Destra_storica" TargetMode="External"/><Relationship Id="rId23" Type="http://schemas.openxmlformats.org/officeDocument/2006/relationships/hyperlink" Target="https://it.m.wikipedia.org/wiki/Disabilit%C3%A0" TargetMode="External"/><Relationship Id="rId28" Type="http://schemas.openxmlformats.org/officeDocument/2006/relationships/hyperlink" Target="https://it.m.wikipedia.org/wiki/Guerra_italo-turca" TargetMode="External"/><Relationship Id="rId36" Type="http://schemas.openxmlformats.org/officeDocument/2006/relationships/hyperlink" Target="https://it.m.wikipedia.org/wiki/1919" TargetMode="External"/><Relationship Id="rId49" Type="http://schemas.openxmlformats.org/officeDocument/2006/relationships/hyperlink" Target="https://it.m.wikipedia.org/wiki/Democrazia" TargetMode="External"/><Relationship Id="rId57" Type="http://schemas.openxmlformats.org/officeDocument/2006/relationships/hyperlink" Target="https://it.m.wikipedia.org/wiki/Broncopolmonite" TargetMode="External"/><Relationship Id="rId10" Type="http://schemas.openxmlformats.org/officeDocument/2006/relationships/hyperlink" Target="https://it.m.wikipedia.org/wiki/Giurisprudenza" TargetMode="External"/><Relationship Id="rId19" Type="http://schemas.openxmlformats.org/officeDocument/2006/relationships/hyperlink" Target="https://it.m.wikipedia.org/wiki/Partito_Socialista_Italiano" TargetMode="External"/><Relationship Id="rId31" Type="http://schemas.openxmlformats.org/officeDocument/2006/relationships/hyperlink" Target="https://it.m.wikipedia.org/wiki/Antonio_Salandra" TargetMode="External"/><Relationship Id="rId44" Type="http://schemas.openxmlformats.org/officeDocument/2006/relationships/hyperlink" Target="https://it.m.wikipedia.org/wiki/Reggenza_italiana_del_Carnaro" TargetMode="External"/><Relationship Id="rId52" Type="http://schemas.openxmlformats.org/officeDocument/2006/relationships/hyperlink" Target="https://it.m.wikipedia.org/wiki/Statuto_Albertino" TargetMode="External"/><Relationship Id="rId60" Type="http://schemas.openxmlformats.org/officeDocument/2006/relationships/theme" Target="theme/theme1.xml"/><Relationship Id="rId4" Type="http://schemas.openxmlformats.org/officeDocument/2006/relationships/hyperlink" Target="https://it.m.wikipedia.org/wiki/Presidenti_del_Consiglio_dei_ministri_del_Regno_d%27Italia" TargetMode="External"/><Relationship Id="rId9" Type="http://schemas.openxmlformats.org/officeDocument/2006/relationships/hyperlink" Target="https://it.m.wikipedia.org/wiki/Torino" TargetMode="External"/><Relationship Id="rId14" Type="http://schemas.openxmlformats.org/officeDocument/2006/relationships/hyperlink" Target="https://it.m.wikipedia.org/wiki/Liberalismo" TargetMode="External"/><Relationship Id="rId22" Type="http://schemas.openxmlformats.org/officeDocument/2006/relationships/hyperlink" Target="https://it.m.wikipedia.org/wiki/Riformismo" TargetMode="External"/><Relationship Id="rId27" Type="http://schemas.openxmlformats.org/officeDocument/2006/relationships/hyperlink" Target="https://it.m.wikipedia.org/wiki/1914" TargetMode="External"/><Relationship Id="rId30" Type="http://schemas.openxmlformats.org/officeDocument/2006/relationships/hyperlink" Target="https://it.m.wikipedia.org/wiki/Imperi_centrali" TargetMode="External"/><Relationship Id="rId35" Type="http://schemas.openxmlformats.org/officeDocument/2006/relationships/hyperlink" Target="https://it.m.wikipedia.org/wiki/Biennio_rosso_in_Italia" TargetMode="External"/><Relationship Id="rId43" Type="http://schemas.openxmlformats.org/officeDocument/2006/relationships/hyperlink" Target="https://it.m.wikipedia.org/wiki/Zara" TargetMode="External"/><Relationship Id="rId48" Type="http://schemas.openxmlformats.org/officeDocument/2006/relationships/hyperlink" Target="https://it.m.wikipedia.org/wiki/Fascismo" TargetMode="External"/><Relationship Id="rId56" Type="http://schemas.openxmlformats.org/officeDocument/2006/relationships/hyperlink" Target="https://it.m.wikipedia.org/wiki/Libert%C3%A0_di_stampa" TargetMode="External"/><Relationship Id="rId8" Type="http://schemas.openxmlformats.org/officeDocument/2006/relationships/hyperlink" Target="https://it.m.wikipedia.org/wiki/Et%C3%A0_giolittiana" TargetMode="External"/><Relationship Id="rId51" Type="http://schemas.openxmlformats.org/officeDocument/2006/relationships/hyperlink" Target="https://it.m.wikipedia.org/wiki/Governo_Mussolini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2543</Words>
  <Characters>14500</Characters>
  <Application>Microsoft Office Word</Application>
  <DocSecurity>0</DocSecurity>
  <Lines>120</Lines>
  <Paragraphs>34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emanuela amici</dc:creator>
  <cp:lastModifiedBy>utente</cp:lastModifiedBy>
  <cp:revision>19</cp:revision>
  <dcterms:created xsi:type="dcterms:W3CDTF">2022-11-10T08:55:00Z</dcterms:created>
  <dcterms:modified xsi:type="dcterms:W3CDTF">2022-11-10T09:23:00Z</dcterms:modified>
</cp:coreProperties>
</file>